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0A3" w:rsidRDefault="00C03665" w:rsidP="00F960A3">
      <w:pPr>
        <w:pStyle w:val="ListParagraph"/>
        <w:ind w:lef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-53340</wp:posOffset>
                </wp:positionV>
                <wp:extent cx="6798310" cy="353695"/>
                <wp:effectExtent l="0" t="0" r="21590" b="2730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53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4A4A" w:rsidRPr="00427187" w:rsidRDefault="001C5684" w:rsidP="00594A4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</w:pPr>
                            <w:r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Daikin </w:t>
                            </w:r>
                            <w:r w:rsidR="0061047F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Apr-June</w:t>
                            </w:r>
                            <w:r w:rsidR="00286FD4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2019</w:t>
                            </w:r>
                            <w:r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Consumer Program </w:t>
                            </w:r>
                            <w:r w:rsidR="006A0885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– </w:t>
                            </w:r>
                            <w:r w:rsidR="00FD6BE1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US </w:t>
                            </w:r>
                            <w:r w:rsidR="000272B1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Only</w:t>
                            </w:r>
                            <w:r w:rsidR="00594A4A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 </w:t>
                            </w:r>
                            <w:r w:rsidR="00D0170B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0.15pt;margin-top:-4.2pt;width:535.3pt;height:27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" fillcolor="#00b0f0">
                <v:textbox>
                  <w:txbxContent>
                    <w:p w:rsidR="00594A4A" w:rsidRPr="00427187" w:rsidRDefault="001C5684" w:rsidP="00594A4A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</w:pPr>
                      <w:r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Daikin </w:t>
                      </w:r>
                      <w:r w:rsidR="0061047F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Apr-June</w:t>
                      </w:r>
                      <w:r w:rsidR="00286FD4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2019</w:t>
                      </w:r>
                      <w:r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Consumer Program </w:t>
                      </w:r>
                      <w:r w:rsidR="006A0885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– </w:t>
                      </w:r>
                      <w:r w:rsidR="00FD6BE1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US </w:t>
                      </w:r>
                      <w:r w:rsidR="000272B1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Only</w:t>
                      </w:r>
                      <w:r w:rsidR="00594A4A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 </w:t>
                      </w:r>
                      <w:r w:rsidR="00D0170B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</w:p>
    <w:p w:rsidR="00126EA7" w:rsidRDefault="00126EA7" w:rsidP="00126E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</w:pPr>
    </w:p>
    <w:p w:rsidR="00594A4A" w:rsidRDefault="00594A4A" w:rsidP="00594A4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</w:pPr>
    </w:p>
    <w:p w:rsidR="00D0170B" w:rsidRDefault="00D0170B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311008" w:rsidRPr="00311008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</w:pPr>
      <w:r w:rsidRPr="00311008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Daikin </w:t>
      </w:r>
      <w:r w:rsidR="0061047F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>Apr-June</w:t>
      </w:r>
      <w:r w:rsidR="00286FD4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 2019</w:t>
      </w:r>
      <w:r w:rsidRPr="00311008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 Consumer Programs</w:t>
      </w:r>
      <w:r w:rsidR="007F76CD" w:rsidRPr="00311008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 </w:t>
      </w: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Consumer may receive</w:t>
      </w: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 xml:space="preserve">Up to </w:t>
      </w:r>
      <w:r w:rsidR="007D46CB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$1,</w:t>
      </w:r>
      <w:r w:rsidR="007F0460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5</w:t>
      </w:r>
      <w:r w:rsidR="00142471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50</w:t>
      </w:r>
      <w:r w:rsidR="00472EE9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*</w:t>
      </w:r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 xml:space="preserve"> Rebate</w:t>
      </w:r>
    </w:p>
    <w:p w:rsidR="00D0170B" w:rsidRDefault="00D0170B" w:rsidP="007D46CB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  <w:proofErr w:type="gramStart"/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with</w:t>
      </w:r>
      <w:proofErr w:type="gramEnd"/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 xml:space="preserve"> purchase of qualifying Daikin home comfort system</w:t>
      </w:r>
      <w:r w:rsidR="00646612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***</w:t>
      </w:r>
    </w:p>
    <w:p w:rsidR="00182C7A" w:rsidRPr="00182C7A" w:rsidRDefault="00182C7A" w:rsidP="00182C7A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</w:p>
    <w:p w:rsidR="00182C7A" w:rsidRPr="00D0170B" w:rsidRDefault="00182C7A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D0170B" w:rsidRPr="00D0170B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D0170B" w:rsidRPr="001342E0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3"/>
          <w:szCs w:val="23"/>
          <w:u w:val="single"/>
        </w:rPr>
      </w:pPr>
      <w:r w:rsidRPr="001342E0">
        <w:rPr>
          <w:rFonts w:ascii="Century Gothic" w:eastAsia="Times New Roman" w:hAnsi="Century Gothic" w:cs="Century Gothic"/>
          <w:b/>
          <w:bCs/>
          <w:kern w:val="28"/>
          <w:sz w:val="23"/>
          <w:szCs w:val="23"/>
          <w:u w:val="single"/>
        </w:rPr>
        <w:t>Promotion overview:</w:t>
      </w:r>
    </w:p>
    <w:p w:rsidR="00D0170B" w:rsidRPr="007D46CB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23"/>
          <w:szCs w:val="23"/>
        </w:rPr>
      </w:pPr>
      <w:r w:rsidRPr="001342E0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>Dealer wil</w:t>
      </w:r>
      <w:r w:rsidR="007263F7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 xml:space="preserve">l be able to offer </w:t>
      </w:r>
      <w:r w:rsidRPr="001342E0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>an Insta</w:t>
      </w:r>
      <w:r w:rsidR="007D46CB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 xml:space="preserve">nt Rebate to the homeowner </w:t>
      </w:r>
      <w:r w:rsidR="004D5DFB" w:rsidRPr="001342E0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>for qualifying equipment</w:t>
      </w:r>
      <w:r w:rsidR="007D46CB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 xml:space="preserve"> under the EGIA program.</w:t>
      </w:r>
    </w:p>
    <w:p w:rsidR="00D0170B" w:rsidRPr="001342E0" w:rsidRDefault="00D0170B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3"/>
          <w:szCs w:val="23"/>
        </w:rPr>
      </w:pPr>
    </w:p>
    <w:p w:rsidR="004A311C" w:rsidRDefault="004A311C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="Century Gothic" w:eastAsia="Times New Roman" w:hAnsi="Century Gothic" w:cs="Century Gothic"/>
          <w:bCs/>
          <w:kern w:val="28"/>
          <w:sz w:val="20"/>
          <w:szCs w:val="20"/>
        </w:rPr>
      </w:pPr>
      <w:r w:rsidRPr="007F76CD">
        <w:rPr>
          <w:rFonts w:ascii="Century Gothic" w:eastAsia="Times New Roman" w:hAnsi="Century Gothic" w:cs="Century Gothic"/>
          <w:bCs/>
          <w:kern w:val="28"/>
          <w:sz w:val="20"/>
          <w:szCs w:val="20"/>
        </w:rPr>
        <w:br w:type="page"/>
      </w:r>
    </w:p>
    <w:p w:rsidR="00E615B4" w:rsidRPr="007F76CD" w:rsidRDefault="00142471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="Century Gothic" w:eastAsia="Times New Roman" w:hAnsi="Century Gothic" w:cs="Century Gothic"/>
          <w:bCs/>
          <w:kern w:val="28"/>
          <w:sz w:val="20"/>
          <w:szCs w:val="20"/>
        </w:rPr>
      </w:pPr>
      <w:r>
        <w:rPr>
          <w:rFonts w:ascii="Century Gothic" w:eastAsia="Times New Roman" w:hAnsi="Century Gothic" w:cs="Century Gothic"/>
          <w:b/>
          <w:bCs/>
          <w:noProof/>
          <w:kern w:val="28"/>
          <w:sz w:val="20"/>
          <w:szCs w:val="2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C0C41" wp14:editId="511F0163">
                <wp:simplePos x="0" y="0"/>
                <wp:positionH relativeFrom="column">
                  <wp:posOffset>31750</wp:posOffset>
                </wp:positionH>
                <wp:positionV relativeFrom="paragraph">
                  <wp:posOffset>-80010</wp:posOffset>
                </wp:positionV>
                <wp:extent cx="6798310" cy="262255"/>
                <wp:effectExtent l="0" t="0" r="21590" b="2349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262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A311C" w:rsidRPr="00142471" w:rsidRDefault="004A311C" w:rsidP="004A311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42471">
                              <w:rPr>
                                <w:b/>
                                <w:color w:val="FFFFFF" w:themeColor="background1"/>
                              </w:rPr>
                              <w:t xml:space="preserve">Daikin </w:t>
                            </w:r>
                            <w:r w:rsidR="0061047F">
                              <w:rPr>
                                <w:b/>
                                <w:color w:val="FFFFFF" w:themeColor="background1"/>
                              </w:rPr>
                              <w:t>Apr-June</w:t>
                            </w:r>
                            <w:r w:rsidR="00286FD4" w:rsidRPr="00142471">
                              <w:rPr>
                                <w:b/>
                                <w:color w:val="FFFFFF" w:themeColor="background1"/>
                              </w:rPr>
                              <w:t xml:space="preserve"> 2019</w:t>
                            </w:r>
                            <w:r w:rsidRPr="00142471">
                              <w:rPr>
                                <w:b/>
                                <w:color w:val="FFFFFF" w:themeColor="background1"/>
                              </w:rPr>
                              <w:t xml:space="preserve"> Consumer </w:t>
                            </w:r>
                            <w:r w:rsidR="003167A6" w:rsidRPr="00142471">
                              <w:rPr>
                                <w:b/>
                                <w:color w:val="FFFFFF" w:themeColor="background1"/>
                              </w:rPr>
                              <w:t>Program –</w:t>
                            </w:r>
                            <w:r w:rsidR="00501382" w:rsidRPr="00142471">
                              <w:rPr>
                                <w:b/>
                                <w:color w:val="FFFFFF" w:themeColor="background1"/>
                              </w:rPr>
                              <w:t xml:space="preserve"> INSTANT REBATE</w:t>
                            </w:r>
                            <w:r w:rsidR="00646612" w:rsidRPr="00142471">
                              <w:rPr>
                                <w:b/>
                                <w:color w:val="FFFFFF" w:themeColor="background1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7" style="position:absolute;left:0;text-align:left;margin-left:2.5pt;margin-top:-6.3pt;width:535.3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" fillcolor="#00b0f0">
                <v:textbox>
                  <w:txbxContent>
                    <w:p w:rsidR="004A311C" w:rsidRPr="00142471" w:rsidRDefault="004A311C" w:rsidP="004A311C">
                      <w:pPr>
                        <w:jc w:val="center"/>
                        <w:rPr>
                          <w:b/>
                          <w:color w:val="FFFFFF" w:themeColor="background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42471">
                        <w:rPr>
                          <w:b/>
                          <w:color w:val="FFFFFF" w:themeColor="background1"/>
                        </w:rPr>
                        <w:t xml:space="preserve">Daikin </w:t>
                      </w:r>
                      <w:r w:rsidR="0061047F">
                        <w:rPr>
                          <w:b/>
                          <w:color w:val="FFFFFF" w:themeColor="background1"/>
                        </w:rPr>
                        <w:t>Apr-June</w:t>
                      </w:r>
                      <w:r w:rsidR="00286FD4" w:rsidRPr="00142471">
                        <w:rPr>
                          <w:b/>
                          <w:color w:val="FFFFFF" w:themeColor="background1"/>
                        </w:rPr>
                        <w:t xml:space="preserve"> 2019</w:t>
                      </w:r>
                      <w:r w:rsidRPr="00142471">
                        <w:rPr>
                          <w:b/>
                          <w:color w:val="FFFFFF" w:themeColor="background1"/>
                        </w:rPr>
                        <w:t xml:space="preserve"> Consumer </w:t>
                      </w:r>
                      <w:r w:rsidR="003167A6" w:rsidRPr="00142471">
                        <w:rPr>
                          <w:b/>
                          <w:color w:val="FFFFFF" w:themeColor="background1"/>
                        </w:rPr>
                        <w:t>Program –</w:t>
                      </w:r>
                      <w:r w:rsidR="00501382" w:rsidRPr="00142471">
                        <w:rPr>
                          <w:b/>
                          <w:color w:val="FFFFFF" w:themeColor="background1"/>
                        </w:rPr>
                        <w:t xml:space="preserve"> INSTANT REBATE</w:t>
                      </w:r>
                      <w:r w:rsidR="00646612" w:rsidRPr="00142471">
                        <w:rPr>
                          <w:b/>
                          <w:color w:val="FFFFFF" w:themeColor="background1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</w:p>
    <w:p w:rsidR="00945DE4" w:rsidRDefault="00945DE4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</w:p>
    <w:p w:rsidR="004A311C" w:rsidRPr="00945DE4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  <w:t>Eligible Participants (Daikin Comfort Pros/Homeowners) and Timing:</w:t>
      </w:r>
    </w:p>
    <w:p w:rsidR="004A311C" w:rsidRPr="00945DE4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This program is eligible for participating independent Daikin Comfort Pros in the U.S. ONLY with a signed dealer agreement.  </w:t>
      </w:r>
    </w:p>
    <w:p w:rsidR="004A311C" w:rsidRPr="00945DE4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sz w:val="16"/>
          <w:szCs w:val="16"/>
        </w:rPr>
      </w:pPr>
      <w:r w:rsidRPr="00945DE4">
        <w:rPr>
          <w:rFonts w:ascii="Century Gothic" w:hAnsi="Century Gothic" w:cs="Century Gothic"/>
          <w:sz w:val="16"/>
          <w:szCs w:val="16"/>
        </w:rPr>
        <w:t xml:space="preserve">U.S. Homeowner must purchase equipment between </w:t>
      </w:r>
      <w:r w:rsidR="0061047F">
        <w:rPr>
          <w:rFonts w:ascii="Century Gothic" w:hAnsi="Century Gothic" w:cs="Century Gothic"/>
          <w:b/>
          <w:sz w:val="16"/>
          <w:szCs w:val="16"/>
        </w:rPr>
        <w:t>April 1, 2019 and June 30</w:t>
      </w:r>
      <w:r w:rsidR="00286FD4" w:rsidRPr="00945DE4">
        <w:rPr>
          <w:rFonts w:ascii="Century Gothic" w:hAnsi="Century Gothic" w:cs="Century Gothic"/>
          <w:b/>
          <w:sz w:val="16"/>
          <w:szCs w:val="16"/>
        </w:rPr>
        <w:t>, 2019</w:t>
      </w:r>
      <w:r w:rsidRPr="00945DE4">
        <w:rPr>
          <w:rFonts w:ascii="Century Gothic" w:hAnsi="Century Gothic" w:cs="Century Gothic"/>
          <w:b/>
          <w:sz w:val="16"/>
          <w:szCs w:val="16"/>
        </w:rPr>
        <w:t>.</w:t>
      </w:r>
    </w:p>
    <w:p w:rsidR="004A311C" w:rsidRPr="00945DE4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sz w:val="16"/>
          <w:szCs w:val="16"/>
        </w:rPr>
      </w:pPr>
      <w:r w:rsidRPr="00945DE4">
        <w:rPr>
          <w:rFonts w:ascii="Century Gothic" w:hAnsi="Century Gothic" w:cs="Century Gothic"/>
          <w:sz w:val="16"/>
          <w:szCs w:val="16"/>
        </w:rPr>
        <w:t xml:space="preserve">Daikin Comfort Pro must install between </w:t>
      </w:r>
      <w:r w:rsidR="0061047F">
        <w:rPr>
          <w:rFonts w:ascii="Century Gothic" w:hAnsi="Century Gothic" w:cs="Century Gothic"/>
          <w:b/>
          <w:sz w:val="16"/>
          <w:szCs w:val="16"/>
        </w:rPr>
        <w:t>April</w:t>
      </w:r>
      <w:r w:rsidR="007D46CB" w:rsidRPr="00945DE4">
        <w:rPr>
          <w:rFonts w:ascii="Century Gothic" w:hAnsi="Century Gothic" w:cs="Century Gothic"/>
          <w:b/>
          <w:sz w:val="16"/>
          <w:szCs w:val="16"/>
        </w:rPr>
        <w:t xml:space="preserve"> 1</w:t>
      </w:r>
      <w:r w:rsidR="0018475A" w:rsidRPr="00945DE4">
        <w:rPr>
          <w:rFonts w:ascii="Century Gothic" w:hAnsi="Century Gothic" w:cs="Century Gothic"/>
          <w:b/>
          <w:sz w:val="16"/>
          <w:szCs w:val="16"/>
        </w:rPr>
        <w:t xml:space="preserve">, </w:t>
      </w:r>
      <w:r w:rsidR="007263F7" w:rsidRPr="00945DE4">
        <w:rPr>
          <w:rFonts w:ascii="Century Gothic" w:hAnsi="Century Gothic" w:cs="Century Gothic"/>
          <w:b/>
          <w:sz w:val="16"/>
          <w:szCs w:val="16"/>
        </w:rPr>
        <w:t>2</w:t>
      </w:r>
      <w:r w:rsidR="0061047F">
        <w:rPr>
          <w:rFonts w:ascii="Century Gothic" w:hAnsi="Century Gothic" w:cs="Century Gothic"/>
          <w:b/>
          <w:sz w:val="16"/>
          <w:szCs w:val="16"/>
        </w:rPr>
        <w:t>019 and July</w:t>
      </w:r>
      <w:r w:rsidR="001A6591" w:rsidRPr="00945DE4">
        <w:rPr>
          <w:rFonts w:ascii="Century Gothic" w:hAnsi="Century Gothic" w:cs="Century Gothic"/>
          <w:b/>
          <w:sz w:val="16"/>
          <w:szCs w:val="16"/>
        </w:rPr>
        <w:t xml:space="preserve"> 15</w:t>
      </w:r>
      <w:r w:rsidR="0038571C" w:rsidRPr="00945DE4">
        <w:rPr>
          <w:rFonts w:ascii="Century Gothic" w:hAnsi="Century Gothic" w:cs="Century Gothic"/>
          <w:b/>
          <w:sz w:val="16"/>
          <w:szCs w:val="16"/>
        </w:rPr>
        <w:t>, 2019</w:t>
      </w:r>
      <w:r w:rsidR="008F2A2B" w:rsidRPr="00945DE4">
        <w:rPr>
          <w:rFonts w:ascii="Century Gothic" w:hAnsi="Century Gothic" w:cs="Century Gothic"/>
          <w:b/>
          <w:sz w:val="16"/>
          <w:szCs w:val="16"/>
        </w:rPr>
        <w:t>.</w:t>
      </w:r>
    </w:p>
    <w:p w:rsidR="004A311C" w:rsidRPr="00945DE4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All consumer rebate claims </w:t>
      </w: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must be submitted by</w:t>
      </w:r>
      <w:r w:rsidR="007F76CD"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 </w:t>
      </w:r>
      <w:r w:rsidR="0061047F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July</w:t>
      </w:r>
      <w:r w:rsidR="0038571C"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 15, 2019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.</w:t>
      </w:r>
    </w:p>
    <w:p w:rsidR="004A311C" w:rsidRPr="00945DE4" w:rsidRDefault="00CF644B" w:rsidP="004A311C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contextualSpacing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Late claims will be paid out at 50% of the dealer rebate amount per the Consumer Rebate Matrix only for a short period after the initial deadline. Any late claims will be paid at Daikin’s discretion. </w:t>
      </w:r>
    </w:p>
    <w:p w:rsidR="007D46CB" w:rsidRPr="00945DE4" w:rsidRDefault="007D46CB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</w:p>
    <w:p w:rsidR="004A311C" w:rsidRPr="00945DE4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Qualifying Daikin Equipment</w:t>
      </w:r>
      <w:r w:rsidR="00646612"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***</w:t>
      </w:r>
    </w:p>
    <w:p w:rsidR="00DA1639" w:rsidRPr="00945DE4" w:rsidRDefault="00DA1639" w:rsidP="008E5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To qualify for the Daikin</w:t>
      </w:r>
      <w:r w:rsidR="0061047F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Apr-June</w:t>
      </w:r>
      <w:r w:rsidR="00286FD4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2019</w:t>
      </w:r>
      <w:r w:rsidR="00494A86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Instant R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ebate, </w:t>
      </w:r>
      <w:r w:rsidR="00F6446F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Homeowner purchase invoice</w:t>
      </w:r>
      <w:r w:rsidR="004A311C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must include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:</w:t>
      </w:r>
    </w:p>
    <w:p w:rsidR="009D430A" w:rsidRPr="00945DE4" w:rsidRDefault="003370FE" w:rsidP="009D430A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</w:t>
      </w:r>
      <w:r w:rsidR="00C864B7"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RXSQ24TAVJU, RXSQ36TAVJU, RXSQ48TAVJU, RXSQ60TAVJU </w:t>
      </w:r>
      <w:r w:rsidR="009D430A" w:rsidRPr="00945DE4"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  <w:t>OR</w:t>
      </w:r>
    </w:p>
    <w:p w:rsidR="00142471" w:rsidRPr="00945DE4" w:rsidRDefault="00142471" w:rsidP="00142471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DX17VSS181, 241, 301, 361, 421, 481 or 601 </w:t>
      </w:r>
      <w:r w:rsidRPr="00945DE4"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  <w:t>OR</w:t>
      </w:r>
    </w:p>
    <w:p w:rsidR="00C864B7" w:rsidRPr="00945DE4" w:rsidRDefault="009D430A" w:rsidP="00C864B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</w:t>
      </w:r>
      <w:r w:rsidR="0052019A"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DX20VC, </w:t>
      </w:r>
      <w:r w:rsidR="00C864B7"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DZ20VC, DX18TC, DZ18VC, DZ18TC, DX16TC, DZ</w:t>
      </w:r>
      <w:r w:rsidR="0052019A"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16TC </w:t>
      </w:r>
      <w:r w:rsidR="00C864B7" w:rsidRPr="00945DE4"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  <w:t>OR</w:t>
      </w:r>
    </w:p>
    <w:p w:rsidR="00C864B7" w:rsidRPr="00945DE4" w:rsidRDefault="0052019A" w:rsidP="00C864B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DM97MC, DC97MC </w:t>
      </w:r>
      <w:r w:rsidR="00C864B7"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Modulating Furnace   </w:t>
      </w:r>
      <w:r w:rsidR="00C864B7" w:rsidRPr="00576E23"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  <w:t>OR</w:t>
      </w:r>
    </w:p>
    <w:p w:rsidR="00C864B7" w:rsidRPr="00945DE4" w:rsidRDefault="00C864B7" w:rsidP="00C864B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DM96VC, DC96VC Variable Speed Furnace   </w:t>
      </w:r>
      <w:r w:rsidRPr="00576E23"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  <w:t>OR</w:t>
      </w:r>
    </w:p>
    <w:p w:rsidR="00C864B7" w:rsidRPr="00945DE4" w:rsidRDefault="00C864B7" w:rsidP="00C864B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DP16GM, DP16HH, DP16HM, DP15CH, DP14DM Packaged Unit  </w:t>
      </w:r>
    </w:p>
    <w:p w:rsidR="00C864B7" w:rsidRPr="00945DE4" w:rsidRDefault="0052019A" w:rsidP="00C864B7">
      <w:pPr>
        <w:widowControl w:val="0"/>
        <w:numPr>
          <w:ilvl w:val="2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DP15CH </w:t>
      </w:r>
      <w:r w:rsidR="00C864B7" w:rsidRPr="00945DE4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Packaged Unit while supplies last </w:t>
      </w:r>
    </w:p>
    <w:p w:rsidR="003370FE" w:rsidRPr="00945DE4" w:rsidRDefault="003370FE" w:rsidP="003272C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See Consumer Rebate Matrix for full details.  </w:t>
      </w:r>
    </w:p>
    <w:p w:rsidR="003272C1" w:rsidRPr="00945DE4" w:rsidRDefault="003370FE" w:rsidP="00DA163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A system includes a qualified Daikin outdoor unit listed above &amp; a Daikin or corporate indoor unit.</w:t>
      </w:r>
      <w:r w:rsidR="003272C1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 </w:t>
      </w:r>
    </w:p>
    <w:p w:rsidR="004A311C" w:rsidRPr="00945DE4" w:rsidRDefault="004A311C" w:rsidP="00DA163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A Daikin thermostat is not required</w:t>
      </w:r>
      <w:r w:rsidR="003272C1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, unless noted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. </w:t>
      </w:r>
    </w:p>
    <w:p w:rsidR="004A311C" w:rsidRPr="00945DE4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</w:p>
    <w:p w:rsidR="004A311C" w:rsidRPr="00945DE4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Daikin </w:t>
      </w:r>
      <w:r w:rsidR="00E579BC"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Comfort Pro </w:t>
      </w:r>
      <w:r w:rsidR="00F6446F"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Responsibilities</w:t>
      </w:r>
      <w:r w:rsidR="00E579BC"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 for </w:t>
      </w:r>
      <w:r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Consumer </w:t>
      </w:r>
      <w:r w:rsidR="00E579BC"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Instant </w:t>
      </w:r>
      <w:r w:rsidR="00B97A59" w:rsidRPr="00945DE4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Rebate</w:t>
      </w:r>
    </w:p>
    <w:p w:rsidR="00B97A59" w:rsidRPr="00945DE4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Daikin Comfort Pro is responsible for 50% of each </w:t>
      </w:r>
      <w:r w:rsidR="00CA1DA6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consumer 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instant rebate amount</w:t>
      </w:r>
      <w:r w:rsidRPr="00945DE4">
        <w:rPr>
          <w:rFonts w:ascii="Century Gothic" w:eastAsia="Times New Roman" w:hAnsi="Century Gothic" w:cs="Century Gothic"/>
          <w:i/>
          <w:kern w:val="28"/>
          <w:sz w:val="16"/>
          <w:szCs w:val="16"/>
        </w:rPr>
        <w:t>,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but will need to provide the full rebate to the homeowner at time of purchase.  Daikin Comfort Pro will claim</w:t>
      </w:r>
      <w:r w:rsidR="00F6446F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back 50% of the </w:t>
      </w:r>
      <w:r w:rsidR="00DA1639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total </w:t>
      </w:r>
      <w:r w:rsidR="00F6446F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rebate</w:t>
      </w:r>
      <w:r w:rsidR="00DA1639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</w:t>
      </w:r>
      <w:r w:rsidR="00F6446F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from Daikin post</w:t>
      </w:r>
      <w:r w:rsidR="00CA1DA6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sale.</w:t>
      </w:r>
    </w:p>
    <w:p w:rsidR="009B0C9E" w:rsidRPr="00945DE4" w:rsidRDefault="009B0C9E" w:rsidP="00182C7A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E.g.:  If a homeowner instant </w:t>
      </w:r>
      <w:r w:rsidR="005D1A72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rebate is $1,2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00, Daikin Comfort Pro will receive a rebate from Daikin (via </w:t>
      </w:r>
      <w:r w:rsidR="005D1A72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EGIA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) for</w:t>
      </w:r>
      <w:r w:rsidR="005D1A72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 $6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00.   </w:t>
      </w:r>
    </w:p>
    <w:p w:rsidR="00B97A59" w:rsidRPr="00945DE4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Daikin agrees to reimburse </w:t>
      </w:r>
      <w:r w:rsidR="00CA1DA6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the Daikin Comfort Pro</w:t>
      </w:r>
      <w:r w:rsidR="00F6446F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, via payment from </w:t>
      </w:r>
      <w:r w:rsidR="005D1A72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EGIA</w:t>
      </w:r>
      <w:r w:rsidR="00F6446F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, for any claim that </w:t>
      </w:r>
      <w:r w:rsidR="005D1A72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EGIA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determines to be valid</w:t>
      </w:r>
      <w:r w:rsidR="00716477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>.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</w:t>
      </w:r>
    </w:p>
    <w:p w:rsidR="00B97A59" w:rsidRPr="00945DE4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Daikin Comfort Pro may not apply any Daikin marketing accrual funds for repayment of </w:t>
      </w:r>
      <w:r w:rsidR="00716477"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consumer </w:t>
      </w:r>
      <w:r w:rsidRPr="00945DE4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rebates.  </w:t>
      </w:r>
    </w:p>
    <w:p w:rsidR="000E7AD8" w:rsidRPr="00945DE4" w:rsidRDefault="000E7AD8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Daikin Comfort Pros should </w:t>
      </w:r>
      <w:r w:rsidRPr="00945DE4"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  <w:t>not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 increase their invoice price by the price of the consumer instant rebate and all invoices should clearly denote the </w:t>
      </w:r>
      <w:r w:rsidR="00F6446F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instant rebate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 provided. </w:t>
      </w:r>
    </w:p>
    <w:p w:rsidR="000E7AD8" w:rsidRPr="00945DE4" w:rsidRDefault="000E7AD8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</w:p>
    <w:p w:rsidR="00E579BC" w:rsidRPr="00945DE4" w:rsidRDefault="00E579BC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  <w:r w:rsidRPr="00945DE4"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  <w:t>Claims process</w:t>
      </w:r>
    </w:p>
    <w:p w:rsidR="009540B7" w:rsidRPr="00945DE4" w:rsidRDefault="000E7AD8" w:rsidP="000E7AD8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Dealer will file the </w:t>
      </w:r>
      <w:r w:rsidR="00E579B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rebate 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claim with </w:t>
      </w:r>
      <w:r w:rsidR="005D1A72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EGIA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, including all necessary documentation</w:t>
      </w:r>
      <w:r w:rsidR="009B0C9E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, at </w:t>
      </w:r>
      <w:hyperlink r:id="rId9" w:history="1">
        <w:r w:rsidR="005D1A72" w:rsidRPr="00945DE4">
          <w:rPr>
            <w:rStyle w:val="Hyperlink"/>
            <w:rFonts w:ascii="Century Gothic" w:hAnsi="Century Gothic" w:cs="Century Gothic"/>
            <w:b/>
            <w:sz w:val="16"/>
            <w:szCs w:val="16"/>
          </w:rPr>
          <w:t>www.egia.org/daikin</w:t>
        </w:r>
      </w:hyperlink>
      <w:r w:rsidR="00311008" w:rsidRPr="00945DE4">
        <w:rPr>
          <w:rFonts w:ascii="Century Gothic" w:eastAsia="Times New Roman" w:hAnsi="Century Gothic" w:cs="Century Gothic"/>
          <w:b/>
          <w:bCs/>
          <w:kern w:val="28"/>
          <w:sz w:val="16"/>
          <w:szCs w:val="16"/>
        </w:rPr>
        <w:t xml:space="preserve">.  </w:t>
      </w:r>
      <w:r w:rsidR="003272C1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P</w:t>
      </w:r>
      <w:r w:rsidR="00311008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rogram portal will be available </w:t>
      </w:r>
      <w:r w:rsidR="0061047F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April</w:t>
      </w:r>
      <w:r w:rsidR="00311008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</w:t>
      </w:r>
      <w:r w:rsidR="00286FD4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2019</w:t>
      </w:r>
      <w:r w:rsidR="00311008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.</w:t>
      </w:r>
    </w:p>
    <w:p w:rsidR="00E579BC" w:rsidRPr="00945DE4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All claims must be submitted online by the </w:t>
      </w:r>
      <w:r w:rsidR="009B0C9E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dealer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with </w:t>
      </w:r>
      <w:r w:rsidR="009B0C9E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appropriate 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back-up documentation.  </w:t>
      </w:r>
    </w:p>
    <w:p w:rsidR="00E579BC" w:rsidRPr="00945DE4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Rebate claims must be submitted </w:t>
      </w:r>
      <w:r w:rsidR="009B0C9E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before </w:t>
      </w:r>
      <w:r w:rsidR="0061047F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July</w:t>
      </w:r>
      <w:r w:rsidR="0018475A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15</w:t>
      </w:r>
      <w:r w:rsidR="0038571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, 2019</w:t>
      </w:r>
      <w:r w:rsidR="007D46CB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,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at the latest.  </w:t>
      </w:r>
    </w:p>
    <w:p w:rsidR="00E579BC" w:rsidRPr="00945DE4" w:rsidRDefault="005D1A72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EGIA</w:t>
      </w:r>
      <w:r w:rsidR="00E579B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can be contacted via phone at </w:t>
      </w:r>
      <w:r w:rsidR="009653AA" w:rsidRPr="00945DE4">
        <w:rPr>
          <w:rFonts w:ascii="Century Gothic" w:hAnsi="Century Gothic"/>
          <w:b/>
          <w:sz w:val="16"/>
          <w:szCs w:val="16"/>
        </w:rPr>
        <w:t>888-691-0387</w:t>
      </w:r>
      <w:r w:rsidR="00764F05" w:rsidRPr="00945DE4">
        <w:rPr>
          <w:rFonts w:ascii="Century Gothic" w:hAnsi="Century Gothic"/>
          <w:b/>
          <w:sz w:val="16"/>
          <w:szCs w:val="16"/>
        </w:rPr>
        <w:t xml:space="preserve"> </w:t>
      </w:r>
      <w:r w:rsidR="00764F05" w:rsidRPr="00945DE4">
        <w:rPr>
          <w:rFonts w:ascii="Century Gothic" w:hAnsi="Century Gothic"/>
          <w:sz w:val="16"/>
          <w:szCs w:val="16"/>
        </w:rPr>
        <w:t>or via email at</w:t>
      </w:r>
      <w:r w:rsidR="00764F05" w:rsidRPr="00945DE4">
        <w:rPr>
          <w:rFonts w:ascii="Century Gothic" w:hAnsi="Century Gothic"/>
          <w:b/>
          <w:sz w:val="16"/>
          <w:szCs w:val="16"/>
        </w:rPr>
        <w:t xml:space="preserve"> </w:t>
      </w:r>
      <w:hyperlink r:id="rId10" w:history="1">
        <w:r w:rsidR="006D2AC9" w:rsidRPr="00945DE4">
          <w:rPr>
            <w:rStyle w:val="Hyperlink"/>
            <w:rFonts w:ascii="Century Gothic" w:hAnsi="Century Gothic" w:cs="Century Gothic"/>
            <w:b/>
            <w:sz w:val="16"/>
            <w:szCs w:val="16"/>
          </w:rPr>
          <w:t>DealerRebates@egia.org</w:t>
        </w:r>
      </w:hyperlink>
      <w:r w:rsidR="006D2AC9" w:rsidRPr="00945DE4">
        <w:rPr>
          <w:rFonts w:ascii="Century Gothic" w:hAnsi="Century Gothic"/>
          <w:b/>
          <w:sz w:val="16"/>
          <w:szCs w:val="16"/>
        </w:rPr>
        <w:t xml:space="preserve"> </w:t>
      </w:r>
      <w:r w:rsidR="00E579B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with questions regard</w:t>
      </w:r>
      <w:r w:rsidR="00036507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ing claim submission or status on Daikin Consumer Instant Rebates. </w:t>
      </w:r>
    </w:p>
    <w:p w:rsidR="00E579BC" w:rsidRPr="00945DE4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Daikin Comfort Pro must </w:t>
      </w:r>
      <w:r w:rsidR="00DA1639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provide </w:t>
      </w:r>
      <w:r w:rsidR="005D1A72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EGIA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with</w:t>
      </w:r>
      <w:r w:rsidR="00091D21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</w:t>
      </w:r>
      <w:r w:rsidR="00091D21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ONE</w:t>
      </w:r>
      <w:r w:rsidR="00091D21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of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the following</w:t>
      </w:r>
      <w:r w:rsidR="009B0C9E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for the online claim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:</w:t>
      </w:r>
    </w:p>
    <w:p w:rsidR="00E579BC" w:rsidRPr="00945DE4" w:rsidRDefault="00E579BC" w:rsidP="00182C7A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A copy of their invoice including:</w:t>
      </w:r>
    </w:p>
    <w:p w:rsidR="00E579BC" w:rsidRPr="00945DE4" w:rsidRDefault="00E579BC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Invoice number</w:t>
      </w:r>
    </w:p>
    <w:p w:rsidR="00E579BC" w:rsidRPr="00945DE4" w:rsidRDefault="00F6446F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Serial and m</w:t>
      </w:r>
      <w:r w:rsidR="00E579B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odel numbers for all equipment purchased</w:t>
      </w:r>
    </w:p>
    <w:p w:rsidR="007D1141" w:rsidRPr="0061047F" w:rsidRDefault="00E579BC" w:rsidP="009F1160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Homeowner name</w:t>
      </w:r>
      <w:r w:rsidR="00F6446F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and address</w:t>
      </w:r>
    </w:p>
    <w:p w:rsidR="00E579BC" w:rsidRPr="00945DE4" w:rsidRDefault="00E579BC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Date of installation</w:t>
      </w:r>
    </w:p>
    <w:p w:rsidR="009F1160" w:rsidRPr="00945DE4" w:rsidRDefault="001D6136" w:rsidP="007D1141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Rebate given to homeowner</w:t>
      </w:r>
    </w:p>
    <w:p w:rsidR="00E579BC" w:rsidRPr="00945DE4" w:rsidRDefault="00E579BC" w:rsidP="00091D21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Daikin Comfort Pro name</w:t>
      </w:r>
      <w:r w:rsidR="00805838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and dealer number</w:t>
      </w:r>
      <w:r w:rsidR="00F6446F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(local distributor number)</w:t>
      </w:r>
    </w:p>
    <w:p w:rsidR="009E65DF" w:rsidRPr="00945DE4" w:rsidRDefault="009E65DF" w:rsidP="00091D21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 copy of the Daikin product registration confirmation </w:t>
      </w:r>
    </w:p>
    <w:p w:rsidR="00F6446F" w:rsidRPr="00945DE4" w:rsidRDefault="00F6446F" w:rsidP="00F6446F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If homeowner invoice does not include equipment serial numbers, Daikin Comfort Pro must provide a copy of warranty registration number with serial numbers.</w:t>
      </w:r>
    </w:p>
    <w:p w:rsidR="00EC4B82" w:rsidRPr="00945DE4" w:rsidRDefault="00805838" w:rsidP="00F14AF9">
      <w:pPr>
        <w:numPr>
          <w:ilvl w:val="0"/>
          <w:numId w:val="14"/>
        </w:numPr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Allow </w:t>
      </w:r>
      <w:r w:rsidR="005B712C"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4-</w:t>
      </w:r>
      <w:r w:rsidRPr="00945DE4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6 weeks for rebate processing and receipt of rebate check.</w:t>
      </w:r>
    </w:p>
    <w:p w:rsidR="000272B1" w:rsidRPr="00EC4B82" w:rsidRDefault="0000431C" w:rsidP="00354312">
      <w:pPr>
        <w:rPr>
          <w:rFonts w:ascii="Century Gothic" w:eastAsia="Times New Roman" w:hAnsi="Century Gothic" w:cs="Century Gothic"/>
          <w:bCs/>
          <w:kern w:val="28"/>
          <w:sz w:val="19"/>
          <w:szCs w:val="19"/>
        </w:rPr>
      </w:pPr>
      <w:r w:rsidRPr="00EC4B82">
        <w:rPr>
          <w:rFonts w:cs="Helvetica"/>
          <w:i/>
          <w:color w:val="333333"/>
          <w:sz w:val="16"/>
          <w:szCs w:val="16"/>
          <w:lang w:val="en"/>
        </w:rPr>
        <w:t xml:space="preserve">The consumer instant rebate and financing program are administered by the Electric &amp; Gas Industries Association (EGIA). This information is only a summary of current terms of the programs. Programs are subject to change at any time at Daikin or EGIA's decision. Other financing plans and programs are also available. </w:t>
      </w:r>
      <w:r w:rsidR="000272B1" w:rsidRPr="00EC4B82">
        <w:rPr>
          <w:rFonts w:cs="Helvetica"/>
          <w:i/>
          <w:color w:val="333333"/>
          <w:sz w:val="16"/>
          <w:szCs w:val="16"/>
          <w:lang w:val="en"/>
        </w:rPr>
        <w:br w:type="page"/>
      </w:r>
    </w:p>
    <w:p w:rsidR="00772AD8" w:rsidRDefault="00772AD8" w:rsidP="000272B1">
      <w:pPr>
        <w:spacing w:after="0" w:line="240" w:lineRule="auto"/>
        <w:rPr>
          <w:rFonts w:cs="Helvetica"/>
          <w:i/>
          <w:color w:val="333333"/>
          <w:sz w:val="16"/>
          <w:szCs w:val="16"/>
          <w:lang w:val="en"/>
        </w:rPr>
      </w:pPr>
      <w:r>
        <w:rPr>
          <w:rFonts w:ascii="Century Gothic" w:eastAsia="Times New Roman" w:hAnsi="Century Gothic" w:cs="Century Gothic"/>
          <w:bCs/>
          <w:noProof/>
          <w:kern w:val="28"/>
          <w:sz w:val="20"/>
          <w:szCs w:val="2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903A11" wp14:editId="5110825B">
                <wp:simplePos x="0" y="0"/>
                <wp:positionH relativeFrom="column">
                  <wp:posOffset>-15875</wp:posOffset>
                </wp:positionH>
                <wp:positionV relativeFrom="paragraph">
                  <wp:posOffset>-106680</wp:posOffset>
                </wp:positionV>
                <wp:extent cx="6696075" cy="269875"/>
                <wp:effectExtent l="0" t="0" r="28575" b="1587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269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5838" w:rsidRPr="006401BE" w:rsidRDefault="0061047F" w:rsidP="008F2B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Daikin Apr-June</w:t>
                            </w:r>
                            <w:r w:rsidR="00286FD4">
                              <w:rPr>
                                <w:b/>
                                <w:color w:val="FFFFFF" w:themeColor="background1"/>
                              </w:rPr>
                              <w:t xml:space="preserve"> 2019</w:t>
                            </w:r>
                            <w:r w:rsidR="00805838" w:rsidRPr="006401BE">
                              <w:rPr>
                                <w:b/>
                                <w:color w:val="FFFFFF" w:themeColor="background1"/>
                              </w:rPr>
                              <w:t xml:space="preserve"> Consumer Rebate </w:t>
                            </w:r>
                            <w:r w:rsidR="00F6446F" w:rsidRPr="006401BE">
                              <w:rPr>
                                <w:b/>
                                <w:color w:val="FFFFFF" w:themeColor="background1"/>
                              </w:rPr>
                              <w:t>Matrix</w:t>
                            </w:r>
                            <w:r w:rsidR="009F1160" w:rsidRPr="006401BE">
                              <w:rPr>
                                <w:b/>
                                <w:color w:val="FFFFFF" w:themeColor="background1"/>
                              </w:rPr>
                              <w:t xml:space="preserve"> 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8" style="position:absolute;margin-left:-1.25pt;margin-top:-8.4pt;width:527.2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" fillcolor="#00b0f0">
                <v:textbox>
                  <w:txbxContent>
                    <w:p w:rsidR="00805838" w:rsidRPr="006401BE" w:rsidRDefault="0061047F" w:rsidP="008F2B5C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Daikin Apr-June</w:t>
                      </w:r>
                      <w:r w:rsidR="00286FD4">
                        <w:rPr>
                          <w:b/>
                          <w:color w:val="FFFFFF" w:themeColor="background1"/>
                        </w:rPr>
                        <w:t xml:space="preserve"> 2019</w:t>
                      </w:r>
                      <w:r w:rsidR="00805838" w:rsidRPr="006401BE">
                        <w:rPr>
                          <w:b/>
                          <w:color w:val="FFFFFF" w:themeColor="background1"/>
                        </w:rPr>
                        <w:t xml:space="preserve"> Consumer Rebate </w:t>
                      </w:r>
                      <w:r w:rsidR="00F6446F" w:rsidRPr="006401BE">
                        <w:rPr>
                          <w:b/>
                          <w:color w:val="FFFFFF" w:themeColor="background1"/>
                        </w:rPr>
                        <w:t>Matrix</w:t>
                      </w:r>
                      <w:r w:rsidR="009F1160" w:rsidRPr="006401BE">
                        <w:rPr>
                          <w:b/>
                          <w:color w:val="FFFFFF" w:themeColor="background1"/>
                        </w:rPr>
                        <w:t xml:space="preserve"> ***</w:t>
                      </w:r>
                    </w:p>
                  </w:txbxContent>
                </v:textbox>
              </v:roundrect>
            </w:pict>
          </mc:Fallback>
        </mc:AlternateContent>
      </w:r>
    </w:p>
    <w:p w:rsidR="000272B1" w:rsidRDefault="000272B1" w:rsidP="000272B1">
      <w:pPr>
        <w:spacing w:after="0" w:line="240" w:lineRule="auto"/>
        <w:rPr>
          <w:rFonts w:cs="Helvetica"/>
          <w:i/>
          <w:color w:val="333333"/>
          <w:sz w:val="16"/>
          <w:szCs w:val="16"/>
          <w:lang w:val="en"/>
        </w:rPr>
      </w:pPr>
    </w:p>
    <w:tbl>
      <w:tblPr>
        <w:tblStyle w:val="TableGrid"/>
        <w:tblW w:w="11039" w:type="dxa"/>
        <w:jc w:val="center"/>
        <w:tblLook w:val="04A0" w:firstRow="1" w:lastRow="0" w:firstColumn="1" w:lastColumn="0" w:noHBand="0" w:noVBand="1"/>
      </w:tblPr>
      <w:tblGrid>
        <w:gridCol w:w="1353"/>
        <w:gridCol w:w="9"/>
        <w:gridCol w:w="2420"/>
        <w:gridCol w:w="9"/>
        <w:gridCol w:w="2519"/>
        <w:gridCol w:w="2364"/>
        <w:gridCol w:w="1049"/>
        <w:gridCol w:w="1316"/>
      </w:tblGrid>
      <w:tr w:rsidR="00EB4189" w:rsidRPr="00EB4189" w:rsidTr="0052019A">
        <w:trPr>
          <w:trHeight w:val="318"/>
          <w:jc w:val="center"/>
        </w:trPr>
        <w:tc>
          <w:tcPr>
            <w:tcW w:w="11039" w:type="dxa"/>
            <w:gridSpan w:val="8"/>
            <w:shd w:val="clear" w:color="auto" w:fill="00B0F0"/>
            <w:vAlign w:val="center"/>
          </w:tcPr>
          <w:p w:rsidR="00EB4189" w:rsidRPr="009D430A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20"/>
                <w:szCs w:val="20"/>
              </w:rPr>
              <w:t>U.S. SYSTEM OFFERS</w:t>
            </w:r>
          </w:p>
        </w:tc>
      </w:tr>
      <w:tr w:rsidR="00EB4189" w:rsidRPr="00EB4189" w:rsidTr="00E223E6">
        <w:trPr>
          <w:trHeight w:val="476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EB4189" w:rsidRPr="009D430A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REBATE</w:t>
            </w:r>
          </w:p>
        </w:tc>
        <w:tc>
          <w:tcPr>
            <w:tcW w:w="2429" w:type="dxa"/>
            <w:gridSpan w:val="2"/>
            <w:shd w:val="clear" w:color="auto" w:fill="BFBFBF" w:themeFill="background1" w:themeFillShade="BF"/>
            <w:vAlign w:val="center"/>
          </w:tcPr>
          <w:p w:rsidR="00EB4189" w:rsidRPr="009D430A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NAME</w:t>
            </w:r>
          </w:p>
        </w:tc>
        <w:tc>
          <w:tcPr>
            <w:tcW w:w="2528" w:type="dxa"/>
            <w:gridSpan w:val="2"/>
            <w:shd w:val="clear" w:color="auto" w:fill="BFBFBF" w:themeFill="background1" w:themeFillShade="BF"/>
            <w:vAlign w:val="center"/>
          </w:tcPr>
          <w:p w:rsidR="00EB4189" w:rsidRPr="009D430A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OUTDOOR</w:t>
            </w:r>
          </w:p>
        </w:tc>
        <w:tc>
          <w:tcPr>
            <w:tcW w:w="3413" w:type="dxa"/>
            <w:gridSpan w:val="2"/>
            <w:shd w:val="clear" w:color="auto" w:fill="BFBFBF" w:themeFill="background1" w:themeFillShade="BF"/>
            <w:vAlign w:val="center"/>
          </w:tcPr>
          <w:p w:rsidR="00EB4189" w:rsidRPr="009D430A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QUALIFYING INDOOR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EB4189" w:rsidRPr="009D430A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CONTROL</w:t>
            </w:r>
          </w:p>
        </w:tc>
      </w:tr>
      <w:tr w:rsidR="009D430A" w:rsidRPr="00EB4189" w:rsidTr="00E223E6">
        <w:trPr>
          <w:trHeight w:val="719"/>
          <w:jc w:val="center"/>
        </w:trPr>
        <w:tc>
          <w:tcPr>
            <w:tcW w:w="1353" w:type="dxa"/>
            <w:shd w:val="clear" w:color="auto" w:fill="FABF8F" w:themeFill="accent6" w:themeFillTint="99"/>
            <w:vAlign w:val="center"/>
          </w:tcPr>
          <w:p w:rsidR="009D430A" w:rsidRPr="009257CC" w:rsidRDefault="007F046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UP TO $1,4</w:t>
            </w:r>
            <w:r w:rsidR="009D430A"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00</w:t>
            </w:r>
            <w:r w:rsidR="00650209"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*</w:t>
            </w:r>
          </w:p>
          <w:p w:rsidR="009D430A" w:rsidRPr="009257CC" w:rsidRDefault="009D430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4"/>
                <w:szCs w:val="4"/>
              </w:rPr>
            </w:pPr>
          </w:p>
          <w:p w:rsidR="009D430A" w:rsidRPr="009257CC" w:rsidRDefault="004B53A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</w:pP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2"/>
                <w:szCs w:val="12"/>
              </w:rPr>
              <w:t>$</w:t>
            </w:r>
            <w:r w:rsidR="007F0460"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  <w:t>10</w:t>
            </w:r>
            <w:r w:rsidR="009D430A"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  <w:t xml:space="preserve">00 Per Outdoor; </w:t>
            </w:r>
          </w:p>
          <w:p w:rsidR="004B53AA" w:rsidRPr="009257CC" w:rsidRDefault="004B53A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</w:pP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  <w:t xml:space="preserve">$100 Per Indoor </w:t>
            </w:r>
          </w:p>
          <w:p w:rsidR="009D430A" w:rsidRPr="009257CC" w:rsidRDefault="004B53A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6"/>
                <w:szCs w:val="16"/>
              </w:rPr>
            </w:pP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  <w:t>(up to 4</w:t>
            </w:r>
            <w:r w:rsidR="009D430A"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0"/>
                <w:szCs w:val="10"/>
              </w:rPr>
              <w:t>)</w:t>
            </w:r>
          </w:p>
        </w:tc>
        <w:tc>
          <w:tcPr>
            <w:tcW w:w="2429" w:type="dxa"/>
            <w:gridSpan w:val="2"/>
            <w:shd w:val="clear" w:color="auto" w:fill="FABF8F" w:themeFill="accent6" w:themeFillTint="99"/>
            <w:vAlign w:val="center"/>
          </w:tcPr>
          <w:p w:rsidR="009D430A" w:rsidRPr="009257CC" w:rsidRDefault="009D430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VRV LIFE</w:t>
            </w:r>
          </w:p>
        </w:tc>
        <w:tc>
          <w:tcPr>
            <w:tcW w:w="2528" w:type="dxa"/>
            <w:gridSpan w:val="2"/>
            <w:shd w:val="clear" w:color="auto" w:fill="FABF8F" w:themeFill="accent6" w:themeFillTint="99"/>
            <w:vAlign w:val="center"/>
          </w:tcPr>
          <w:p w:rsidR="009D430A" w:rsidRPr="009257CC" w:rsidRDefault="009D430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bookmarkStart w:id="0" w:name="_GoBack"/>
            <w:bookmarkEnd w:id="0"/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RXSQ24TAVJU, RXSQ36TAVJU, RXSQ48TAVJU, RXSQ60TAVJU</w:t>
            </w:r>
          </w:p>
        </w:tc>
        <w:tc>
          <w:tcPr>
            <w:tcW w:w="3413" w:type="dxa"/>
            <w:gridSpan w:val="2"/>
            <w:shd w:val="clear" w:color="auto" w:fill="FABF8F" w:themeFill="accent6" w:themeFillTint="99"/>
            <w:vAlign w:val="center"/>
          </w:tcPr>
          <w:p w:rsidR="00C83598" w:rsidRPr="009257CC" w:rsidRDefault="00C83598" w:rsidP="00C83598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CXTQ Series, FX_Q Series</w:t>
            </w:r>
          </w:p>
        </w:tc>
        <w:tc>
          <w:tcPr>
            <w:tcW w:w="1316" w:type="dxa"/>
            <w:shd w:val="clear" w:color="auto" w:fill="FABF8F" w:themeFill="accent6" w:themeFillTint="99"/>
            <w:vAlign w:val="center"/>
          </w:tcPr>
          <w:p w:rsidR="009D430A" w:rsidRPr="009257CC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 w:rsidRPr="009257CC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BRC1E73</w:t>
            </w:r>
          </w:p>
        </w:tc>
      </w:tr>
      <w:tr w:rsidR="009257CC" w:rsidRPr="00EB4189" w:rsidTr="00E223E6">
        <w:trPr>
          <w:trHeight w:val="800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9257CC" w:rsidRPr="0052465F" w:rsidRDefault="00A37967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$1,000</w:t>
            </w:r>
          </w:p>
        </w:tc>
        <w:tc>
          <w:tcPr>
            <w:tcW w:w="2429" w:type="dxa"/>
            <w:gridSpan w:val="2"/>
            <w:shd w:val="clear" w:color="auto" w:fill="BFBFBF" w:themeFill="background1" w:themeFillShade="BF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20 SEER INVERTER SYSTEM</w:t>
            </w:r>
          </w:p>
        </w:tc>
        <w:tc>
          <w:tcPr>
            <w:tcW w:w="2528" w:type="dxa"/>
            <w:gridSpan w:val="2"/>
            <w:shd w:val="clear" w:color="auto" w:fill="BFBFBF" w:themeFill="background1" w:themeFillShade="BF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DX20VC, DZ20VC</w:t>
            </w:r>
          </w:p>
        </w:tc>
        <w:tc>
          <w:tcPr>
            <w:tcW w:w="3413" w:type="dxa"/>
            <w:gridSpan w:val="2"/>
            <w:shd w:val="clear" w:color="auto" w:fill="BFBFBF" w:themeFill="background1" w:themeFillShade="BF"/>
            <w:vAlign w:val="center"/>
          </w:tcPr>
          <w:p w:rsidR="009257CC" w:rsidRPr="0052465F" w:rsidRDefault="009257CC" w:rsidP="0052465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DV-PEC, MBVC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CTK04</w:t>
            </w:r>
          </w:p>
        </w:tc>
      </w:tr>
      <w:tr w:rsidR="009257CC" w:rsidRPr="00EB4189" w:rsidTr="00E223E6">
        <w:trPr>
          <w:trHeight w:val="440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9257CC" w:rsidRPr="0052465F" w:rsidRDefault="00A37967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$900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18 SEER INVERTER SYSTEM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DZ18VC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DV-PEC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CTK04</w:t>
            </w:r>
          </w:p>
        </w:tc>
      </w:tr>
      <w:tr w:rsidR="009257CC" w:rsidRPr="00EB4189" w:rsidTr="00E223E6">
        <w:trPr>
          <w:trHeight w:val="440"/>
          <w:jc w:val="center"/>
        </w:trPr>
        <w:tc>
          <w:tcPr>
            <w:tcW w:w="1353" w:type="dxa"/>
            <w:shd w:val="clear" w:color="auto" w:fill="FABF8F" w:themeFill="accent6" w:themeFillTint="99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$850</w:t>
            </w:r>
          </w:p>
        </w:tc>
        <w:tc>
          <w:tcPr>
            <w:tcW w:w="2429" w:type="dxa"/>
            <w:gridSpan w:val="2"/>
            <w:shd w:val="clear" w:color="auto" w:fill="FABF8F" w:themeFill="accent6" w:themeFillTint="99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DAIKIN FIT</w:t>
            </w:r>
          </w:p>
        </w:tc>
        <w:tc>
          <w:tcPr>
            <w:tcW w:w="2528" w:type="dxa"/>
            <w:gridSpan w:val="2"/>
            <w:shd w:val="clear" w:color="auto" w:fill="FABF8F" w:themeFill="accent6" w:themeFillTint="99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DX17VSS</w:t>
            </w:r>
          </w:p>
        </w:tc>
        <w:tc>
          <w:tcPr>
            <w:tcW w:w="3413" w:type="dxa"/>
            <w:gridSpan w:val="2"/>
            <w:shd w:val="clear" w:color="auto" w:fill="FABF8F" w:themeFill="accent6" w:themeFillTint="99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DM96VC, DC96VC, DM80VC, DD80VC, MBVC</w:t>
            </w:r>
          </w:p>
        </w:tc>
        <w:tc>
          <w:tcPr>
            <w:tcW w:w="1316" w:type="dxa"/>
            <w:shd w:val="clear" w:color="auto" w:fill="FABF8F" w:themeFill="accent6" w:themeFillTint="99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CTK04</w:t>
            </w:r>
          </w:p>
        </w:tc>
      </w:tr>
      <w:tr w:rsidR="0061047F" w:rsidRPr="00EB4189" w:rsidTr="00E223E6">
        <w:trPr>
          <w:trHeight w:val="440"/>
          <w:jc w:val="center"/>
        </w:trPr>
        <w:tc>
          <w:tcPr>
            <w:tcW w:w="1353" w:type="dxa"/>
            <w:shd w:val="clear" w:color="auto" w:fill="FABF8F" w:themeFill="accent6" w:themeFillTint="99"/>
            <w:vAlign w:val="center"/>
          </w:tcPr>
          <w:p w:rsidR="0061047F" w:rsidRDefault="0061047F" w:rsidP="00B6031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$700 &amp; </w:t>
            </w:r>
          </w:p>
          <w:p w:rsidR="0061047F" w:rsidRPr="0052465F" w:rsidRDefault="0061047F" w:rsidP="00B6031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1 Daikin ONE** </w:t>
            </w:r>
          </w:p>
        </w:tc>
        <w:tc>
          <w:tcPr>
            <w:tcW w:w="2429" w:type="dxa"/>
            <w:gridSpan w:val="2"/>
            <w:shd w:val="clear" w:color="auto" w:fill="FABF8F" w:themeFill="accent6" w:themeFillTint="99"/>
            <w:vAlign w:val="center"/>
          </w:tcPr>
          <w:p w:rsidR="0061047F" w:rsidRPr="0052465F" w:rsidRDefault="0061047F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DAIKIN FIT</w:t>
            </w:r>
          </w:p>
        </w:tc>
        <w:tc>
          <w:tcPr>
            <w:tcW w:w="2528" w:type="dxa"/>
            <w:gridSpan w:val="2"/>
            <w:shd w:val="clear" w:color="auto" w:fill="FABF8F" w:themeFill="accent6" w:themeFillTint="99"/>
            <w:vAlign w:val="center"/>
          </w:tcPr>
          <w:p w:rsidR="0061047F" w:rsidRPr="0052465F" w:rsidRDefault="0061047F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DX17VSS</w:t>
            </w:r>
          </w:p>
        </w:tc>
        <w:tc>
          <w:tcPr>
            <w:tcW w:w="3413" w:type="dxa"/>
            <w:gridSpan w:val="2"/>
            <w:shd w:val="clear" w:color="auto" w:fill="FABF8F" w:themeFill="accent6" w:themeFillTint="99"/>
            <w:vAlign w:val="center"/>
          </w:tcPr>
          <w:p w:rsidR="0061047F" w:rsidRPr="0052465F" w:rsidRDefault="0061047F" w:rsidP="0052465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61047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DM96VC, DC96VC, DM80VC, DD80VC, MBVC</w:t>
            </w:r>
          </w:p>
        </w:tc>
        <w:tc>
          <w:tcPr>
            <w:tcW w:w="1316" w:type="dxa"/>
            <w:shd w:val="clear" w:color="auto" w:fill="FABF8F" w:themeFill="accent6" w:themeFillTint="99"/>
            <w:vAlign w:val="center"/>
          </w:tcPr>
          <w:p w:rsidR="0061047F" w:rsidRPr="0052465F" w:rsidRDefault="0061047F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DAIKIN ONE</w:t>
            </w:r>
          </w:p>
        </w:tc>
      </w:tr>
      <w:tr w:rsidR="009257CC" w:rsidRPr="00EB4189" w:rsidTr="00E223E6">
        <w:trPr>
          <w:trHeight w:val="809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9257CC" w:rsidRPr="0052465F" w:rsidRDefault="009257CC" w:rsidP="00B6031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$700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18 SEER SYSTEM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DX18TC, DZ18TC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9257CC" w:rsidRPr="0052465F" w:rsidRDefault="009257CC" w:rsidP="0052465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CTK01, CTK02, CTK03, CTK04</w:t>
            </w:r>
          </w:p>
        </w:tc>
      </w:tr>
      <w:tr w:rsidR="009257CC" w:rsidRPr="00EB4189" w:rsidTr="00E223E6">
        <w:trPr>
          <w:trHeight w:val="809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9257CC" w:rsidRPr="0052465F" w:rsidRDefault="009257CC" w:rsidP="00B6031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$600</w:t>
            </w:r>
          </w:p>
        </w:tc>
        <w:tc>
          <w:tcPr>
            <w:tcW w:w="2429" w:type="dxa"/>
            <w:gridSpan w:val="2"/>
            <w:shd w:val="clear" w:color="auto" w:fill="BFBFBF" w:themeFill="background1" w:themeFillShade="BF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18 SEER SYSTEM</w:t>
            </w:r>
          </w:p>
        </w:tc>
        <w:tc>
          <w:tcPr>
            <w:tcW w:w="2528" w:type="dxa"/>
            <w:gridSpan w:val="2"/>
            <w:shd w:val="clear" w:color="auto" w:fill="BFBFBF" w:themeFill="background1" w:themeFillShade="BF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DX18TC, DZ18TC</w:t>
            </w:r>
          </w:p>
        </w:tc>
        <w:tc>
          <w:tcPr>
            <w:tcW w:w="3413" w:type="dxa"/>
            <w:gridSpan w:val="2"/>
            <w:shd w:val="clear" w:color="auto" w:fill="BFBFBF" w:themeFill="background1" w:themeFillShade="BF"/>
            <w:vAlign w:val="center"/>
          </w:tcPr>
          <w:p w:rsidR="009257CC" w:rsidRPr="0052465F" w:rsidRDefault="009257CC" w:rsidP="0052465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MBVC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  <w:tr w:rsidR="009257CC" w:rsidRPr="00EB4189" w:rsidTr="00E223E6">
        <w:trPr>
          <w:trHeight w:val="773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9257CC" w:rsidRPr="0052465F" w:rsidRDefault="009257CC" w:rsidP="00B6031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$500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2-STAGE SYSTEM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9257CC" w:rsidRPr="0052465F" w:rsidRDefault="009257CC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DX16TC, DZ16TC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9257CC" w:rsidRPr="0052465F" w:rsidRDefault="009257CC" w:rsidP="0052465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DV-PEC,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CTK01, CTK02, CTK03, CTK04</w:t>
            </w:r>
          </w:p>
        </w:tc>
      </w:tr>
      <w:tr w:rsidR="009257CC" w:rsidRPr="00EB4189" w:rsidTr="00E223E6">
        <w:trPr>
          <w:trHeight w:val="809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9257CC" w:rsidRPr="0052465F" w:rsidRDefault="009257CC" w:rsidP="00B6031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$400</w:t>
            </w:r>
          </w:p>
        </w:tc>
        <w:tc>
          <w:tcPr>
            <w:tcW w:w="2429" w:type="dxa"/>
            <w:gridSpan w:val="2"/>
            <w:shd w:val="clear" w:color="auto" w:fill="BFBFBF" w:themeFill="background1" w:themeFillShade="BF"/>
            <w:vAlign w:val="center"/>
          </w:tcPr>
          <w:p w:rsidR="009257CC" w:rsidRPr="0052465F" w:rsidRDefault="009257C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2-STAGE SYSTEM</w:t>
            </w:r>
          </w:p>
        </w:tc>
        <w:tc>
          <w:tcPr>
            <w:tcW w:w="2528" w:type="dxa"/>
            <w:gridSpan w:val="2"/>
            <w:shd w:val="clear" w:color="auto" w:fill="BFBFBF" w:themeFill="background1" w:themeFillShade="BF"/>
            <w:vAlign w:val="center"/>
          </w:tcPr>
          <w:p w:rsidR="009257CC" w:rsidRPr="0052465F" w:rsidRDefault="009257C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DX16TC, DZ16TC</w:t>
            </w:r>
          </w:p>
        </w:tc>
        <w:tc>
          <w:tcPr>
            <w:tcW w:w="3413" w:type="dxa"/>
            <w:gridSpan w:val="2"/>
            <w:shd w:val="clear" w:color="auto" w:fill="BFBFBF" w:themeFill="background1" w:themeFillShade="BF"/>
            <w:vAlign w:val="center"/>
          </w:tcPr>
          <w:p w:rsidR="009257CC" w:rsidRPr="0052465F" w:rsidRDefault="009257CC" w:rsidP="0052465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DV-PEC, MBVC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9257CC" w:rsidRPr="0052465F" w:rsidRDefault="009257C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  <w:tr w:rsidR="009257CC" w:rsidRPr="00EB4189" w:rsidTr="00E223E6">
        <w:trPr>
          <w:trHeight w:val="791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9257CC" w:rsidRPr="0052465F" w:rsidRDefault="009257C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9257CC" w:rsidRPr="0052465F" w:rsidRDefault="009257C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SS SYSTEM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9257CC" w:rsidRPr="0052465F" w:rsidRDefault="009257C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DX16SA, DZ16SA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9257CC" w:rsidRPr="0052465F" w:rsidRDefault="009257CC" w:rsidP="0052465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DV-PEC,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9257CC" w:rsidRPr="0052465F" w:rsidRDefault="009257C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  <w:tr w:rsidR="009257CC" w:rsidRPr="00EB4189" w:rsidTr="0052019A">
        <w:trPr>
          <w:trHeight w:val="359"/>
          <w:jc w:val="center"/>
        </w:trPr>
        <w:tc>
          <w:tcPr>
            <w:tcW w:w="11039" w:type="dxa"/>
            <w:gridSpan w:val="8"/>
            <w:shd w:val="clear" w:color="auto" w:fill="808080" w:themeFill="background1" w:themeFillShade="80"/>
            <w:vAlign w:val="center"/>
          </w:tcPr>
          <w:p w:rsidR="009257CC" w:rsidRPr="0052465F" w:rsidRDefault="009257C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4"/>
                <w:szCs w:val="14"/>
              </w:rPr>
              <w:t xml:space="preserve">SYSTEM MUST INCLUDE BOTH AN ELIGIBLE OUTDOOR UNIT </w:t>
            </w:r>
            <w:r w:rsidRPr="0052465F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4"/>
                <w:szCs w:val="14"/>
                <w:u w:val="single"/>
              </w:rPr>
              <w:t>AND</w:t>
            </w:r>
            <w:r w:rsidRPr="0052465F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4"/>
                <w:szCs w:val="14"/>
              </w:rPr>
              <w:t xml:space="preserve"> AN ELIGIBLE INDOOR UNIT TO QUALIFY FOR A SYSTEM REBATE</w:t>
            </w:r>
          </w:p>
        </w:tc>
      </w:tr>
      <w:tr w:rsidR="00501F70" w:rsidRPr="00EB4189" w:rsidTr="00E223E6">
        <w:trPr>
          <w:trHeight w:val="242"/>
          <w:jc w:val="center"/>
        </w:trPr>
        <w:tc>
          <w:tcPr>
            <w:tcW w:w="1362" w:type="dxa"/>
            <w:gridSpan w:val="2"/>
            <w:shd w:val="clear" w:color="auto" w:fill="F79646" w:themeFill="accent6"/>
            <w:vAlign w:val="center"/>
          </w:tcPr>
          <w:p w:rsidR="00501F70" w:rsidRPr="009478AD" w:rsidRDefault="00501F70" w:rsidP="00FE63F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REBATE</w:t>
            </w:r>
          </w:p>
        </w:tc>
        <w:tc>
          <w:tcPr>
            <w:tcW w:w="2429" w:type="dxa"/>
            <w:gridSpan w:val="2"/>
            <w:shd w:val="clear" w:color="auto" w:fill="F79646" w:themeFill="accent6"/>
            <w:vAlign w:val="center"/>
          </w:tcPr>
          <w:p w:rsidR="00501F70" w:rsidRPr="009478AD" w:rsidRDefault="00501F70" w:rsidP="00FE63F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NAME</w:t>
            </w:r>
          </w:p>
        </w:tc>
        <w:tc>
          <w:tcPr>
            <w:tcW w:w="2519" w:type="dxa"/>
            <w:shd w:val="clear" w:color="auto" w:fill="F79646" w:themeFill="accent6"/>
            <w:vAlign w:val="center"/>
          </w:tcPr>
          <w:p w:rsidR="00501F70" w:rsidRPr="009478AD" w:rsidRDefault="00501F70" w:rsidP="00FE63F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OUTDOOR</w:t>
            </w:r>
          </w:p>
        </w:tc>
        <w:tc>
          <w:tcPr>
            <w:tcW w:w="3413" w:type="dxa"/>
            <w:gridSpan w:val="2"/>
            <w:shd w:val="clear" w:color="auto" w:fill="F79646" w:themeFill="accent6"/>
            <w:vAlign w:val="center"/>
          </w:tcPr>
          <w:p w:rsidR="00501F70" w:rsidRPr="009478AD" w:rsidRDefault="00501F70" w:rsidP="00FE63F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INDOOR</w:t>
            </w:r>
          </w:p>
        </w:tc>
        <w:tc>
          <w:tcPr>
            <w:tcW w:w="1316" w:type="dxa"/>
            <w:shd w:val="clear" w:color="auto" w:fill="F79646" w:themeFill="accent6"/>
            <w:vAlign w:val="center"/>
          </w:tcPr>
          <w:p w:rsidR="00501F70" w:rsidRPr="009478AD" w:rsidRDefault="00501F70" w:rsidP="00FE63F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CONTROL</w:t>
            </w:r>
          </w:p>
        </w:tc>
      </w:tr>
      <w:tr w:rsidR="00501F70" w:rsidRPr="00EB4189" w:rsidTr="00E223E6">
        <w:trPr>
          <w:trHeight w:val="242"/>
          <w:jc w:val="center"/>
        </w:trPr>
        <w:tc>
          <w:tcPr>
            <w:tcW w:w="1362" w:type="dxa"/>
            <w:gridSpan w:val="2"/>
            <w:shd w:val="clear" w:color="auto" w:fill="F79646" w:themeFill="accent6"/>
            <w:vAlign w:val="center"/>
          </w:tcPr>
          <w:p w:rsidR="00501F70" w:rsidRPr="009478AD" w:rsidRDefault="00501F70" w:rsidP="00FE63F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$500</w:t>
            </w:r>
          </w:p>
        </w:tc>
        <w:tc>
          <w:tcPr>
            <w:tcW w:w="2429" w:type="dxa"/>
            <w:gridSpan w:val="2"/>
            <w:shd w:val="clear" w:color="auto" w:fill="F79646" w:themeFill="accent6"/>
            <w:vAlign w:val="center"/>
          </w:tcPr>
          <w:p w:rsidR="00501F70" w:rsidRPr="009478AD" w:rsidRDefault="00501F70" w:rsidP="00FE63F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DAIKIN FIT – OUTDOOR ONLY</w:t>
            </w:r>
          </w:p>
        </w:tc>
        <w:tc>
          <w:tcPr>
            <w:tcW w:w="2519" w:type="dxa"/>
            <w:shd w:val="clear" w:color="auto" w:fill="F79646" w:themeFill="accent6"/>
            <w:vAlign w:val="center"/>
          </w:tcPr>
          <w:p w:rsidR="00501F70" w:rsidRPr="009478AD" w:rsidRDefault="00501F70" w:rsidP="00FE63F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DX17VSS</w:t>
            </w:r>
          </w:p>
        </w:tc>
        <w:tc>
          <w:tcPr>
            <w:tcW w:w="3413" w:type="dxa"/>
            <w:gridSpan w:val="2"/>
            <w:shd w:val="clear" w:color="auto" w:fill="F79646" w:themeFill="accent6"/>
            <w:vAlign w:val="center"/>
          </w:tcPr>
          <w:p w:rsidR="00501F70" w:rsidRPr="009478AD" w:rsidRDefault="00501F70" w:rsidP="00FE63F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N/A</w:t>
            </w:r>
          </w:p>
        </w:tc>
        <w:tc>
          <w:tcPr>
            <w:tcW w:w="1316" w:type="dxa"/>
            <w:shd w:val="clear" w:color="auto" w:fill="F79646" w:themeFill="accent6"/>
            <w:vAlign w:val="center"/>
          </w:tcPr>
          <w:p w:rsidR="00501F70" w:rsidRPr="009478AD" w:rsidRDefault="00501F70" w:rsidP="00FE63FF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  <w:tr w:rsidR="00501F70" w:rsidRPr="00EB4189" w:rsidTr="00501F70">
        <w:trPr>
          <w:trHeight w:val="242"/>
          <w:jc w:val="center"/>
        </w:trPr>
        <w:tc>
          <w:tcPr>
            <w:tcW w:w="9723" w:type="dxa"/>
            <w:gridSpan w:val="7"/>
            <w:shd w:val="clear" w:color="auto" w:fill="95B3D7" w:themeFill="accent1" w:themeFillTint="99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FURNACE ONLY</w:t>
            </w:r>
          </w:p>
        </w:tc>
        <w:tc>
          <w:tcPr>
            <w:tcW w:w="1316" w:type="dxa"/>
            <w:vMerge w:val="restart"/>
            <w:shd w:val="clear" w:color="auto" w:fill="808080" w:themeFill="background1" w:themeFillShade="80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501F70" w:rsidRPr="00EB4189" w:rsidTr="00E223E6">
        <w:trPr>
          <w:trHeight w:val="260"/>
          <w:jc w:val="center"/>
        </w:trPr>
        <w:tc>
          <w:tcPr>
            <w:tcW w:w="1353" w:type="dxa"/>
            <w:shd w:val="clear" w:color="auto" w:fill="95B3D7" w:themeFill="accent1" w:themeFillTint="99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REBATE</w:t>
            </w:r>
          </w:p>
        </w:tc>
        <w:tc>
          <w:tcPr>
            <w:tcW w:w="2429" w:type="dxa"/>
            <w:gridSpan w:val="2"/>
            <w:shd w:val="clear" w:color="auto" w:fill="95B3D7" w:themeFill="accent1" w:themeFillTint="99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NAME</w:t>
            </w:r>
          </w:p>
        </w:tc>
        <w:tc>
          <w:tcPr>
            <w:tcW w:w="2528" w:type="dxa"/>
            <w:gridSpan w:val="2"/>
            <w:shd w:val="clear" w:color="auto" w:fill="95B3D7" w:themeFill="accent1" w:themeFillTint="99"/>
            <w:vAlign w:val="center"/>
          </w:tcPr>
          <w:p w:rsidR="00501F70" w:rsidRPr="0052465F" w:rsidRDefault="00501F70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INDOOR</w:t>
            </w:r>
          </w:p>
        </w:tc>
        <w:tc>
          <w:tcPr>
            <w:tcW w:w="3413" w:type="dxa"/>
            <w:gridSpan w:val="2"/>
            <w:shd w:val="clear" w:color="auto" w:fill="95B3D7" w:themeFill="accent1" w:themeFillTint="99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CONTROL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501F70" w:rsidRPr="00EB4189" w:rsidTr="00E223E6">
        <w:trPr>
          <w:trHeight w:val="251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$300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Modulating Furnace Only**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501F70" w:rsidRPr="0052465F" w:rsidRDefault="00501F70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CTK01, CTK02, CTK03, CTK04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501F70" w:rsidRPr="00EB4189" w:rsidTr="00E223E6">
        <w:trPr>
          <w:trHeight w:val="260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$250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Modulating Furnace Only**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501F70" w:rsidRPr="0052465F" w:rsidRDefault="00501F70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501F70" w:rsidRPr="00EB4189" w:rsidTr="00E223E6">
        <w:trPr>
          <w:trHeight w:val="269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VS 96% Furnace Only**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501F70" w:rsidRPr="0052465F" w:rsidRDefault="00501F70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DM96VC, DC96VC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501F70" w:rsidRPr="00EB4189" w:rsidTr="00501F70">
        <w:trPr>
          <w:trHeight w:val="260"/>
          <w:jc w:val="center"/>
        </w:trPr>
        <w:tc>
          <w:tcPr>
            <w:tcW w:w="9723" w:type="dxa"/>
            <w:gridSpan w:val="7"/>
            <w:shd w:val="clear" w:color="auto" w:fill="auto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**FURNACE ONLY REBATES CANNOT BE COMBINED WITH SYSTEM REBATES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501F70" w:rsidRPr="00EB4189" w:rsidTr="00E223E6">
        <w:trPr>
          <w:trHeight w:val="260"/>
          <w:jc w:val="center"/>
        </w:trPr>
        <w:tc>
          <w:tcPr>
            <w:tcW w:w="6310" w:type="dxa"/>
            <w:gridSpan w:val="5"/>
            <w:shd w:val="clear" w:color="auto" w:fill="A6A6A6" w:themeFill="background1" w:themeFillShade="A6"/>
            <w:vAlign w:val="center"/>
          </w:tcPr>
          <w:p w:rsidR="00501F70" w:rsidRPr="0052465F" w:rsidRDefault="00501F70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PACKAGED UNITS ONLY</w:t>
            </w:r>
          </w:p>
        </w:tc>
        <w:tc>
          <w:tcPr>
            <w:tcW w:w="4729" w:type="dxa"/>
            <w:gridSpan w:val="3"/>
            <w:shd w:val="clear" w:color="auto" w:fill="8DB3E2" w:themeFill="text2" w:themeFillTint="6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IAQ SYSTEMS</w:t>
            </w:r>
          </w:p>
        </w:tc>
      </w:tr>
      <w:tr w:rsidR="00501F70" w:rsidRPr="00EB4189" w:rsidTr="00E223E6">
        <w:trPr>
          <w:trHeight w:val="269"/>
          <w:jc w:val="center"/>
        </w:trPr>
        <w:tc>
          <w:tcPr>
            <w:tcW w:w="1353" w:type="dxa"/>
            <w:shd w:val="clear" w:color="auto" w:fill="A6A6A6" w:themeFill="background1" w:themeFillShade="A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REBATE</w:t>
            </w:r>
          </w:p>
        </w:tc>
        <w:tc>
          <w:tcPr>
            <w:tcW w:w="2429" w:type="dxa"/>
            <w:gridSpan w:val="2"/>
            <w:shd w:val="clear" w:color="auto" w:fill="A6A6A6" w:themeFill="background1" w:themeFillShade="A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NAME</w:t>
            </w:r>
          </w:p>
        </w:tc>
        <w:tc>
          <w:tcPr>
            <w:tcW w:w="2528" w:type="dxa"/>
            <w:gridSpan w:val="2"/>
            <w:shd w:val="clear" w:color="auto" w:fill="A6A6A6" w:themeFill="background1" w:themeFillShade="A6"/>
            <w:vAlign w:val="center"/>
          </w:tcPr>
          <w:p w:rsidR="00501F70" w:rsidRPr="0052465F" w:rsidRDefault="00501F70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PACKAGED UNIT</w:t>
            </w:r>
          </w:p>
        </w:tc>
        <w:tc>
          <w:tcPr>
            <w:tcW w:w="2364" w:type="dxa"/>
            <w:shd w:val="clear" w:color="auto" w:fill="8DB3E2" w:themeFill="text2" w:themeFillTint="6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REBATE</w:t>
            </w:r>
          </w:p>
        </w:tc>
        <w:tc>
          <w:tcPr>
            <w:tcW w:w="2365" w:type="dxa"/>
            <w:gridSpan w:val="2"/>
            <w:shd w:val="clear" w:color="auto" w:fill="8DB3E2" w:themeFill="text2" w:themeFillTint="6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NAME</w:t>
            </w:r>
          </w:p>
        </w:tc>
      </w:tr>
      <w:tr w:rsidR="00501F70" w:rsidRPr="00EB4189" w:rsidTr="00E223E6">
        <w:trPr>
          <w:trHeight w:val="251"/>
          <w:jc w:val="center"/>
        </w:trPr>
        <w:tc>
          <w:tcPr>
            <w:tcW w:w="1353" w:type="dxa"/>
            <w:shd w:val="clear" w:color="auto" w:fill="A6A6A6" w:themeFill="background1" w:themeFillShade="A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$500</w:t>
            </w:r>
          </w:p>
        </w:tc>
        <w:tc>
          <w:tcPr>
            <w:tcW w:w="2429" w:type="dxa"/>
            <w:gridSpan w:val="2"/>
            <w:shd w:val="clear" w:color="auto" w:fill="A6A6A6" w:themeFill="background1" w:themeFillShade="A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Packaged</w:t>
            </w:r>
          </w:p>
        </w:tc>
        <w:tc>
          <w:tcPr>
            <w:tcW w:w="2528" w:type="dxa"/>
            <w:gridSpan w:val="2"/>
            <w:shd w:val="clear" w:color="auto" w:fill="A6A6A6" w:themeFill="background1" w:themeFillShade="A6"/>
            <w:vAlign w:val="center"/>
          </w:tcPr>
          <w:p w:rsidR="00501F70" w:rsidRPr="0052465F" w:rsidRDefault="00501F70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DP16GM, DP16HH, DP16HM</w:t>
            </w:r>
          </w:p>
        </w:tc>
        <w:tc>
          <w:tcPr>
            <w:tcW w:w="2364" w:type="dxa"/>
            <w:shd w:val="clear" w:color="auto" w:fill="8DB3E2" w:themeFill="text2" w:themeFillTint="6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$150</w:t>
            </w:r>
          </w:p>
        </w:tc>
        <w:tc>
          <w:tcPr>
            <w:tcW w:w="2365" w:type="dxa"/>
            <w:gridSpan w:val="2"/>
            <w:shd w:val="clear" w:color="auto" w:fill="8DB3E2" w:themeFill="text2" w:themeFillTint="6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5 Stage Air Treatment System (AMHP-250-UPD)</w:t>
            </w:r>
          </w:p>
        </w:tc>
      </w:tr>
      <w:tr w:rsidR="00501F70" w:rsidRPr="00EB4189" w:rsidTr="00E223E6">
        <w:trPr>
          <w:trHeight w:val="359"/>
          <w:jc w:val="center"/>
        </w:trPr>
        <w:tc>
          <w:tcPr>
            <w:tcW w:w="1353" w:type="dxa"/>
            <w:shd w:val="clear" w:color="auto" w:fill="A6A6A6" w:themeFill="background1" w:themeFillShade="A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$400</w:t>
            </w:r>
          </w:p>
        </w:tc>
        <w:tc>
          <w:tcPr>
            <w:tcW w:w="2429" w:type="dxa"/>
            <w:gridSpan w:val="2"/>
            <w:shd w:val="clear" w:color="auto" w:fill="A6A6A6" w:themeFill="background1" w:themeFillShade="A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15 SEER Packaged </w:t>
            </w:r>
          </w:p>
          <w:p w:rsidR="00501F70" w:rsidRPr="004B53AA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</w:pPr>
            <w:r w:rsidRPr="004B53AA"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  <w:t>(while supplies last)</w:t>
            </w:r>
          </w:p>
        </w:tc>
        <w:tc>
          <w:tcPr>
            <w:tcW w:w="2528" w:type="dxa"/>
            <w:gridSpan w:val="2"/>
            <w:shd w:val="clear" w:color="auto" w:fill="A6A6A6" w:themeFill="background1" w:themeFillShade="A6"/>
            <w:vAlign w:val="center"/>
          </w:tcPr>
          <w:p w:rsidR="00501F70" w:rsidRPr="0052465F" w:rsidRDefault="00501F70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DP15CH</w:t>
            </w:r>
          </w:p>
        </w:tc>
        <w:tc>
          <w:tcPr>
            <w:tcW w:w="2364" w:type="dxa"/>
            <w:shd w:val="clear" w:color="auto" w:fill="8DB3E2" w:themeFill="text2" w:themeFillTint="6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$100</w:t>
            </w:r>
          </w:p>
        </w:tc>
        <w:tc>
          <w:tcPr>
            <w:tcW w:w="2365" w:type="dxa"/>
            <w:gridSpan w:val="2"/>
            <w:shd w:val="clear" w:color="auto" w:fill="8DB3E2" w:themeFill="text2" w:themeFillTint="6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In-Duct Air Purifier (UA4000DV)</w:t>
            </w:r>
          </w:p>
        </w:tc>
      </w:tr>
      <w:tr w:rsidR="00501F70" w:rsidRPr="00EB4189" w:rsidTr="00E223E6">
        <w:trPr>
          <w:trHeight w:val="251"/>
          <w:jc w:val="center"/>
        </w:trPr>
        <w:tc>
          <w:tcPr>
            <w:tcW w:w="1353" w:type="dxa"/>
            <w:shd w:val="clear" w:color="auto" w:fill="A6A6A6" w:themeFill="background1" w:themeFillShade="A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$300</w:t>
            </w:r>
          </w:p>
        </w:tc>
        <w:tc>
          <w:tcPr>
            <w:tcW w:w="2429" w:type="dxa"/>
            <w:gridSpan w:val="2"/>
            <w:shd w:val="clear" w:color="auto" w:fill="A6A6A6" w:themeFill="background1" w:themeFillShade="A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Dual Fuel Packaged</w:t>
            </w:r>
          </w:p>
        </w:tc>
        <w:tc>
          <w:tcPr>
            <w:tcW w:w="2528" w:type="dxa"/>
            <w:gridSpan w:val="2"/>
            <w:shd w:val="clear" w:color="auto" w:fill="A6A6A6" w:themeFill="background1" w:themeFillShade="A6"/>
            <w:vAlign w:val="center"/>
          </w:tcPr>
          <w:p w:rsidR="00501F70" w:rsidRPr="0052465F" w:rsidRDefault="00501F70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DP14DM</w:t>
            </w:r>
          </w:p>
        </w:tc>
        <w:tc>
          <w:tcPr>
            <w:tcW w:w="2364" w:type="dxa"/>
            <w:shd w:val="clear" w:color="auto" w:fill="8DB3E2" w:themeFill="text2" w:themeFillTint="6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$50</w:t>
            </w:r>
          </w:p>
        </w:tc>
        <w:tc>
          <w:tcPr>
            <w:tcW w:w="2365" w:type="dxa"/>
            <w:gridSpan w:val="2"/>
            <w:shd w:val="clear" w:color="auto" w:fill="8DB3E2" w:themeFill="text2" w:themeFillTint="66"/>
            <w:vAlign w:val="center"/>
          </w:tcPr>
          <w:p w:rsidR="00501F70" w:rsidRPr="0052465F" w:rsidRDefault="00501F70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52465F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UC36DL16-DV (Furnaces) or UC36D16-24B (Air Handlers)</w:t>
            </w:r>
          </w:p>
        </w:tc>
      </w:tr>
    </w:tbl>
    <w:p w:rsidR="00772AD8" w:rsidRDefault="00772AD8" w:rsidP="00EC4B82">
      <w:pPr>
        <w:spacing w:after="0" w:line="240" w:lineRule="auto"/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</w:pPr>
    </w:p>
    <w:p w:rsidR="00EC4B82" w:rsidRDefault="00EC4B82" w:rsidP="00EC4B82">
      <w:pPr>
        <w:spacing w:after="0" w:line="240" w:lineRule="auto"/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</w:pPr>
      <w:r w:rsidRPr="00650209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*For VRV Life, rebates for Qualifying </w:t>
      </w:r>
      <w:r w:rsidR="00650209" w:rsidRPr="00650209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Indoor are up to 4</w:t>
      </w:r>
      <w:r w:rsidRPr="00650209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 additional per 1 Outdoor unit purchased.</w:t>
      </w:r>
    </w:p>
    <w:p w:rsidR="0061047F" w:rsidRPr="00650209" w:rsidRDefault="0061047F" w:rsidP="00EC4B82">
      <w:pPr>
        <w:spacing w:after="0" w:line="240" w:lineRule="auto"/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</w:pPr>
      <w:r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**COD </w:t>
      </w:r>
      <w:r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Branches s</w:t>
      </w:r>
      <w:r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hould flag the FREE Daikin ONE</w:t>
      </w:r>
      <w:r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 as “No </w:t>
      </w:r>
      <w:r w:rsidR="00D06D53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Charge” in </w:t>
      </w:r>
      <w:proofErr w:type="spellStart"/>
      <w:r w:rsidR="00D06D53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Mincron</w:t>
      </w:r>
      <w:proofErr w:type="spellEnd"/>
      <w:r w:rsidR="00D06D53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 and use PC1065</w:t>
      </w:r>
      <w:r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; </w:t>
      </w:r>
      <w:r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Independ</w:t>
      </w:r>
      <w:r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ent Distributors </w:t>
      </w:r>
      <w:r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will claim the rebate by reporting qualifying sales of Daiki</w:t>
      </w:r>
      <w:r w:rsidR="00501F7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n </w:t>
      </w:r>
      <w:r w:rsidR="00D06D53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equipment using PC1065</w:t>
      </w:r>
      <w:r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, which will be paid as part of the monthly Rebates Automation statement. Distributors only need to report the equipment </w:t>
      </w:r>
      <w:r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sold with the FREE Daikin ONE.</w:t>
      </w:r>
    </w:p>
    <w:sectPr w:rsidR="0061047F" w:rsidRPr="00650209" w:rsidSect="00094869">
      <w:headerReference w:type="default" r:id="rId11"/>
      <w:pgSz w:w="12240" w:h="15840" w:code="1"/>
      <w:pgMar w:top="1440" w:right="720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B0F" w:rsidRDefault="00B00B0F" w:rsidP="009A1DD2">
      <w:pPr>
        <w:spacing w:after="0" w:line="240" w:lineRule="auto"/>
      </w:pPr>
      <w:r>
        <w:separator/>
      </w:r>
    </w:p>
  </w:endnote>
  <w:endnote w:type="continuationSeparator" w:id="0">
    <w:p w:rsidR="00B00B0F" w:rsidRDefault="00B00B0F" w:rsidP="009A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B0F" w:rsidRDefault="00B00B0F" w:rsidP="009A1DD2">
      <w:pPr>
        <w:spacing w:after="0" w:line="240" w:lineRule="auto"/>
      </w:pPr>
      <w:r>
        <w:separator/>
      </w:r>
    </w:p>
  </w:footnote>
  <w:footnote w:type="continuationSeparator" w:id="0">
    <w:p w:rsidR="00B00B0F" w:rsidRDefault="00B00B0F" w:rsidP="009A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DD2" w:rsidRPr="007F76CD" w:rsidRDefault="00C03665">
    <w:pPr>
      <w:pStyle w:val="Header"/>
      <w:rPr>
        <w:b/>
        <w:i/>
        <w:sz w:val="24"/>
        <w:szCs w:val="24"/>
      </w:rPr>
    </w:pPr>
    <w:r>
      <w:rPr>
        <w:noProof/>
      </w:rPr>
      <w:drawing>
        <wp:inline distT="0" distB="0" distL="0" distR="0" wp14:anchorId="27F5DAFE" wp14:editId="1DDF10F3">
          <wp:extent cx="1428750" cy="400050"/>
          <wp:effectExtent l="0" t="0" r="0" b="0"/>
          <wp:docPr id="462" name="Picture 462" descr="1B_Daikin_Logo_Corporate_color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_Daikin_Logo_Corporate_color_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57DD">
      <w:tab/>
    </w:r>
    <w:r w:rsidR="008157DD">
      <w:tab/>
    </w:r>
    <w:r w:rsidR="0061047F">
      <w:rPr>
        <w:b/>
        <w:i/>
      </w:rPr>
      <w:t>April</w:t>
    </w:r>
    <w:r w:rsidR="00286FD4">
      <w:rPr>
        <w:b/>
        <w:i/>
      </w:rPr>
      <w:t xml:space="preserve"> 1, 2019</w:t>
    </w:r>
    <w:r w:rsidR="000C649E">
      <w:rPr>
        <w:b/>
        <w:i/>
      </w:rPr>
      <w:t xml:space="preserve"> </w:t>
    </w:r>
    <w:r w:rsidR="000C649E" w:rsidRPr="007F76CD">
      <w:rPr>
        <w:b/>
        <w:i/>
      </w:rPr>
      <w:t>–</w:t>
    </w:r>
    <w:r w:rsidR="007F76CD" w:rsidRPr="007F76CD">
      <w:rPr>
        <w:b/>
        <w:i/>
      </w:rPr>
      <w:t xml:space="preserve"> US </w:t>
    </w:r>
    <w:r w:rsidR="00F14AF9">
      <w:rPr>
        <w:b/>
        <w:i/>
      </w:rPr>
      <w:t>Only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708BEBA"/>
    <w:lvl w:ilvl="0">
      <w:numFmt w:val="bullet"/>
      <w:lvlText w:val="*"/>
      <w:lvlJc w:val="left"/>
    </w:lvl>
  </w:abstractNum>
  <w:abstractNum w:abstractNumId="1">
    <w:nsid w:val="03D065A5"/>
    <w:multiLevelType w:val="hybridMultilevel"/>
    <w:tmpl w:val="4E86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A73E0"/>
    <w:multiLevelType w:val="hybridMultilevel"/>
    <w:tmpl w:val="360C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E4D19"/>
    <w:multiLevelType w:val="hybridMultilevel"/>
    <w:tmpl w:val="ED96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A661E"/>
    <w:multiLevelType w:val="hybridMultilevel"/>
    <w:tmpl w:val="961EA2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48005E5"/>
    <w:multiLevelType w:val="hybridMultilevel"/>
    <w:tmpl w:val="4BC6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4016A"/>
    <w:multiLevelType w:val="hybridMultilevel"/>
    <w:tmpl w:val="4F32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F423E"/>
    <w:multiLevelType w:val="hybridMultilevel"/>
    <w:tmpl w:val="42B8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10C8A"/>
    <w:multiLevelType w:val="hybridMultilevel"/>
    <w:tmpl w:val="743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D5C9D"/>
    <w:multiLevelType w:val="hybridMultilevel"/>
    <w:tmpl w:val="B6CC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2F5554"/>
    <w:multiLevelType w:val="hybridMultilevel"/>
    <w:tmpl w:val="8C6C8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A37FB7"/>
    <w:multiLevelType w:val="hybridMultilevel"/>
    <w:tmpl w:val="42C6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38519D"/>
    <w:multiLevelType w:val="hybridMultilevel"/>
    <w:tmpl w:val="F9D4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5D157C"/>
    <w:multiLevelType w:val="hybridMultilevel"/>
    <w:tmpl w:val="E80A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93B66"/>
    <w:multiLevelType w:val="hybridMultilevel"/>
    <w:tmpl w:val="695E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6A2F11"/>
    <w:multiLevelType w:val="hybridMultilevel"/>
    <w:tmpl w:val="C9AC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303460"/>
    <w:multiLevelType w:val="hybridMultilevel"/>
    <w:tmpl w:val="3E6A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2"/>
  </w:num>
  <w:num w:numId="4">
    <w:abstractNumId w:val="6"/>
  </w:num>
  <w:num w:numId="5">
    <w:abstractNumId w:val="15"/>
  </w:num>
  <w:num w:numId="6">
    <w:abstractNumId w:val="5"/>
  </w:num>
  <w:num w:numId="7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8">
    <w:abstractNumId w:val="1"/>
  </w:num>
  <w:num w:numId="9">
    <w:abstractNumId w:val="8"/>
  </w:num>
  <w:num w:numId="10">
    <w:abstractNumId w:val="3"/>
  </w:num>
  <w:num w:numId="11">
    <w:abstractNumId w:val="1"/>
  </w:num>
  <w:num w:numId="12">
    <w:abstractNumId w:val="11"/>
  </w:num>
  <w:num w:numId="13">
    <w:abstractNumId w:val="2"/>
  </w:num>
  <w:num w:numId="14">
    <w:abstractNumId w:val="7"/>
  </w:num>
  <w:num w:numId="15">
    <w:abstractNumId w:val="4"/>
  </w:num>
  <w:num w:numId="16">
    <w:abstractNumId w:val="9"/>
  </w:num>
  <w:num w:numId="17">
    <w:abstractNumId w:val="13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A3"/>
    <w:rsid w:val="00000774"/>
    <w:rsid w:val="0000431C"/>
    <w:rsid w:val="00007FA4"/>
    <w:rsid w:val="00015869"/>
    <w:rsid w:val="00017F79"/>
    <w:rsid w:val="00022C70"/>
    <w:rsid w:val="000272B1"/>
    <w:rsid w:val="00036507"/>
    <w:rsid w:val="00044585"/>
    <w:rsid w:val="00070181"/>
    <w:rsid w:val="00091D21"/>
    <w:rsid w:val="00094869"/>
    <w:rsid w:val="000A4E3A"/>
    <w:rsid w:val="000A605D"/>
    <w:rsid w:val="000B02D4"/>
    <w:rsid w:val="000B0A5B"/>
    <w:rsid w:val="000C542E"/>
    <w:rsid w:val="000C649E"/>
    <w:rsid w:val="000E76E1"/>
    <w:rsid w:val="000E7AD8"/>
    <w:rsid w:val="000F1417"/>
    <w:rsid w:val="000F2A89"/>
    <w:rsid w:val="0010059E"/>
    <w:rsid w:val="00100F59"/>
    <w:rsid w:val="00111038"/>
    <w:rsid w:val="001112CD"/>
    <w:rsid w:val="00112246"/>
    <w:rsid w:val="00114A59"/>
    <w:rsid w:val="00126EA7"/>
    <w:rsid w:val="001342E0"/>
    <w:rsid w:val="00142471"/>
    <w:rsid w:val="0016442A"/>
    <w:rsid w:val="0017644A"/>
    <w:rsid w:val="00177626"/>
    <w:rsid w:val="00182C7A"/>
    <w:rsid w:val="0018475A"/>
    <w:rsid w:val="00196834"/>
    <w:rsid w:val="00197D91"/>
    <w:rsid w:val="001A1D67"/>
    <w:rsid w:val="001A5281"/>
    <w:rsid w:val="001A6591"/>
    <w:rsid w:val="001C5684"/>
    <w:rsid w:val="001D384C"/>
    <w:rsid w:val="001D4995"/>
    <w:rsid w:val="001D601E"/>
    <w:rsid w:val="001D6136"/>
    <w:rsid w:val="001F6D6C"/>
    <w:rsid w:val="002142F2"/>
    <w:rsid w:val="002144DE"/>
    <w:rsid w:val="00231E9F"/>
    <w:rsid w:val="00235A9B"/>
    <w:rsid w:val="002363EB"/>
    <w:rsid w:val="002628AE"/>
    <w:rsid w:val="002665F4"/>
    <w:rsid w:val="00270804"/>
    <w:rsid w:val="00272739"/>
    <w:rsid w:val="00286FD4"/>
    <w:rsid w:val="00292BDB"/>
    <w:rsid w:val="002A16B2"/>
    <w:rsid w:val="002A7C43"/>
    <w:rsid w:val="002B5360"/>
    <w:rsid w:val="002C5C0E"/>
    <w:rsid w:val="002D3CA7"/>
    <w:rsid w:val="002D5F9E"/>
    <w:rsid w:val="002D7995"/>
    <w:rsid w:val="002E27FB"/>
    <w:rsid w:val="002E7713"/>
    <w:rsid w:val="002F07C4"/>
    <w:rsid w:val="002F177D"/>
    <w:rsid w:val="002F5A44"/>
    <w:rsid w:val="00304518"/>
    <w:rsid w:val="00311008"/>
    <w:rsid w:val="00313FF5"/>
    <w:rsid w:val="00315D97"/>
    <w:rsid w:val="003167A6"/>
    <w:rsid w:val="00324373"/>
    <w:rsid w:val="003272C1"/>
    <w:rsid w:val="00327C22"/>
    <w:rsid w:val="003370FE"/>
    <w:rsid w:val="0034414C"/>
    <w:rsid w:val="0034701B"/>
    <w:rsid w:val="003514B4"/>
    <w:rsid w:val="00354312"/>
    <w:rsid w:val="0036417B"/>
    <w:rsid w:val="00365D7F"/>
    <w:rsid w:val="0036728C"/>
    <w:rsid w:val="0038571C"/>
    <w:rsid w:val="00393BB5"/>
    <w:rsid w:val="003A16E9"/>
    <w:rsid w:val="003A7680"/>
    <w:rsid w:val="003B4F65"/>
    <w:rsid w:val="003C2AC4"/>
    <w:rsid w:val="003C55CA"/>
    <w:rsid w:val="003E2C9E"/>
    <w:rsid w:val="003E345B"/>
    <w:rsid w:val="003E351D"/>
    <w:rsid w:val="003E6445"/>
    <w:rsid w:val="0040218E"/>
    <w:rsid w:val="00404E03"/>
    <w:rsid w:val="00424160"/>
    <w:rsid w:val="00427187"/>
    <w:rsid w:val="004308E5"/>
    <w:rsid w:val="00430B5E"/>
    <w:rsid w:val="00434F79"/>
    <w:rsid w:val="0044118C"/>
    <w:rsid w:val="00447C81"/>
    <w:rsid w:val="00450116"/>
    <w:rsid w:val="0046534B"/>
    <w:rsid w:val="00466146"/>
    <w:rsid w:val="00472EE9"/>
    <w:rsid w:val="00481FBD"/>
    <w:rsid w:val="004855DC"/>
    <w:rsid w:val="00494A86"/>
    <w:rsid w:val="00497636"/>
    <w:rsid w:val="004A0A1D"/>
    <w:rsid w:val="004A311C"/>
    <w:rsid w:val="004B53AA"/>
    <w:rsid w:val="004C57A2"/>
    <w:rsid w:val="004C729D"/>
    <w:rsid w:val="004D112C"/>
    <w:rsid w:val="004D5DFB"/>
    <w:rsid w:val="004F5A90"/>
    <w:rsid w:val="004F7822"/>
    <w:rsid w:val="00501382"/>
    <w:rsid w:val="00501F70"/>
    <w:rsid w:val="0051179C"/>
    <w:rsid w:val="0052019A"/>
    <w:rsid w:val="0052465F"/>
    <w:rsid w:val="0052744D"/>
    <w:rsid w:val="00532110"/>
    <w:rsid w:val="005432FB"/>
    <w:rsid w:val="00555691"/>
    <w:rsid w:val="0056477A"/>
    <w:rsid w:val="005651BC"/>
    <w:rsid w:val="00566FE6"/>
    <w:rsid w:val="00576E23"/>
    <w:rsid w:val="00580D01"/>
    <w:rsid w:val="00590BE8"/>
    <w:rsid w:val="00593EB1"/>
    <w:rsid w:val="00594A4A"/>
    <w:rsid w:val="005B0C75"/>
    <w:rsid w:val="005B1EF0"/>
    <w:rsid w:val="005B712C"/>
    <w:rsid w:val="005B72E9"/>
    <w:rsid w:val="005C0F73"/>
    <w:rsid w:val="005D1A72"/>
    <w:rsid w:val="005F2773"/>
    <w:rsid w:val="005F5117"/>
    <w:rsid w:val="00606307"/>
    <w:rsid w:val="0061047F"/>
    <w:rsid w:val="00615E47"/>
    <w:rsid w:val="00616AD8"/>
    <w:rsid w:val="00617695"/>
    <w:rsid w:val="00620914"/>
    <w:rsid w:val="00633D13"/>
    <w:rsid w:val="00636262"/>
    <w:rsid w:val="00636D65"/>
    <w:rsid w:val="006401BE"/>
    <w:rsid w:val="00640405"/>
    <w:rsid w:val="00643BBB"/>
    <w:rsid w:val="00646612"/>
    <w:rsid w:val="00647A7C"/>
    <w:rsid w:val="00650209"/>
    <w:rsid w:val="00650E0C"/>
    <w:rsid w:val="0065549A"/>
    <w:rsid w:val="00662AB1"/>
    <w:rsid w:val="00675177"/>
    <w:rsid w:val="00682BFA"/>
    <w:rsid w:val="00690BE8"/>
    <w:rsid w:val="00693C18"/>
    <w:rsid w:val="0069767F"/>
    <w:rsid w:val="006A0885"/>
    <w:rsid w:val="006A4278"/>
    <w:rsid w:val="006A4605"/>
    <w:rsid w:val="006B2546"/>
    <w:rsid w:val="006B3D6D"/>
    <w:rsid w:val="006B7F5C"/>
    <w:rsid w:val="006C3219"/>
    <w:rsid w:val="006C3B95"/>
    <w:rsid w:val="006C4999"/>
    <w:rsid w:val="006C5C5B"/>
    <w:rsid w:val="006D0709"/>
    <w:rsid w:val="006D2AC9"/>
    <w:rsid w:val="006F5307"/>
    <w:rsid w:val="006F5990"/>
    <w:rsid w:val="0070404A"/>
    <w:rsid w:val="0071515D"/>
    <w:rsid w:val="00716477"/>
    <w:rsid w:val="00717011"/>
    <w:rsid w:val="007208CE"/>
    <w:rsid w:val="00722530"/>
    <w:rsid w:val="007263F7"/>
    <w:rsid w:val="007439C6"/>
    <w:rsid w:val="007443AB"/>
    <w:rsid w:val="00755C3A"/>
    <w:rsid w:val="00764F05"/>
    <w:rsid w:val="00772AD8"/>
    <w:rsid w:val="00772F4F"/>
    <w:rsid w:val="00781348"/>
    <w:rsid w:val="00782424"/>
    <w:rsid w:val="0078641C"/>
    <w:rsid w:val="00793A36"/>
    <w:rsid w:val="00795323"/>
    <w:rsid w:val="00795AAC"/>
    <w:rsid w:val="007D1141"/>
    <w:rsid w:val="007D3BA0"/>
    <w:rsid w:val="007D46CB"/>
    <w:rsid w:val="007E0B2C"/>
    <w:rsid w:val="007F0460"/>
    <w:rsid w:val="007F208D"/>
    <w:rsid w:val="007F3742"/>
    <w:rsid w:val="007F6B56"/>
    <w:rsid w:val="007F76CD"/>
    <w:rsid w:val="00805838"/>
    <w:rsid w:val="008059EB"/>
    <w:rsid w:val="00805AA4"/>
    <w:rsid w:val="00810551"/>
    <w:rsid w:val="00813B76"/>
    <w:rsid w:val="008157DD"/>
    <w:rsid w:val="00823E2F"/>
    <w:rsid w:val="008246D4"/>
    <w:rsid w:val="008509E6"/>
    <w:rsid w:val="00850EB8"/>
    <w:rsid w:val="0085102E"/>
    <w:rsid w:val="00854EB8"/>
    <w:rsid w:val="008644EE"/>
    <w:rsid w:val="00882A91"/>
    <w:rsid w:val="00882E51"/>
    <w:rsid w:val="0088579A"/>
    <w:rsid w:val="00896B04"/>
    <w:rsid w:val="008B586F"/>
    <w:rsid w:val="008C52FA"/>
    <w:rsid w:val="008D32E3"/>
    <w:rsid w:val="008D44B5"/>
    <w:rsid w:val="008D4DE6"/>
    <w:rsid w:val="008D6CF7"/>
    <w:rsid w:val="008E4020"/>
    <w:rsid w:val="008E5DA7"/>
    <w:rsid w:val="008F2A2B"/>
    <w:rsid w:val="008F2B5C"/>
    <w:rsid w:val="008F411D"/>
    <w:rsid w:val="008F78B4"/>
    <w:rsid w:val="009157C3"/>
    <w:rsid w:val="00917ED0"/>
    <w:rsid w:val="00924EA3"/>
    <w:rsid w:val="009257CC"/>
    <w:rsid w:val="00925AE4"/>
    <w:rsid w:val="00945DE4"/>
    <w:rsid w:val="00953DB9"/>
    <w:rsid w:val="009540B7"/>
    <w:rsid w:val="00954A0D"/>
    <w:rsid w:val="009574C1"/>
    <w:rsid w:val="00963FB2"/>
    <w:rsid w:val="009653AA"/>
    <w:rsid w:val="00970BCF"/>
    <w:rsid w:val="00972E43"/>
    <w:rsid w:val="00982637"/>
    <w:rsid w:val="00984634"/>
    <w:rsid w:val="009908AB"/>
    <w:rsid w:val="00996599"/>
    <w:rsid w:val="009A1DD2"/>
    <w:rsid w:val="009A3D94"/>
    <w:rsid w:val="009A607F"/>
    <w:rsid w:val="009B0C9E"/>
    <w:rsid w:val="009B7B0D"/>
    <w:rsid w:val="009C3FAE"/>
    <w:rsid w:val="009C40BB"/>
    <w:rsid w:val="009C5B01"/>
    <w:rsid w:val="009D430A"/>
    <w:rsid w:val="009E34F4"/>
    <w:rsid w:val="009E4215"/>
    <w:rsid w:val="009E65DF"/>
    <w:rsid w:val="009F1160"/>
    <w:rsid w:val="009F6DFD"/>
    <w:rsid w:val="00A05516"/>
    <w:rsid w:val="00A23F5C"/>
    <w:rsid w:val="00A353D9"/>
    <w:rsid w:val="00A37967"/>
    <w:rsid w:val="00A450ED"/>
    <w:rsid w:val="00A700EA"/>
    <w:rsid w:val="00A71FD8"/>
    <w:rsid w:val="00A85C2E"/>
    <w:rsid w:val="00AD25A2"/>
    <w:rsid w:val="00AD2D1C"/>
    <w:rsid w:val="00AE2AA5"/>
    <w:rsid w:val="00AE3AF8"/>
    <w:rsid w:val="00AE3FBA"/>
    <w:rsid w:val="00AE6CA7"/>
    <w:rsid w:val="00B00B0F"/>
    <w:rsid w:val="00B04F77"/>
    <w:rsid w:val="00B1590E"/>
    <w:rsid w:val="00B36C3B"/>
    <w:rsid w:val="00B415DF"/>
    <w:rsid w:val="00B4325A"/>
    <w:rsid w:val="00B4467A"/>
    <w:rsid w:val="00B504CB"/>
    <w:rsid w:val="00B52979"/>
    <w:rsid w:val="00B54147"/>
    <w:rsid w:val="00B55831"/>
    <w:rsid w:val="00B55A46"/>
    <w:rsid w:val="00B6031A"/>
    <w:rsid w:val="00B652AE"/>
    <w:rsid w:val="00B74048"/>
    <w:rsid w:val="00B91B6E"/>
    <w:rsid w:val="00B977C7"/>
    <w:rsid w:val="00B97A59"/>
    <w:rsid w:val="00BC51DA"/>
    <w:rsid w:val="00BE7B96"/>
    <w:rsid w:val="00C00D7D"/>
    <w:rsid w:val="00C02E68"/>
    <w:rsid w:val="00C03665"/>
    <w:rsid w:val="00C14437"/>
    <w:rsid w:val="00C155C8"/>
    <w:rsid w:val="00C30C1A"/>
    <w:rsid w:val="00C31460"/>
    <w:rsid w:val="00C36ACE"/>
    <w:rsid w:val="00C779FF"/>
    <w:rsid w:val="00C83598"/>
    <w:rsid w:val="00C864B7"/>
    <w:rsid w:val="00C971DD"/>
    <w:rsid w:val="00CA1DA6"/>
    <w:rsid w:val="00CA2FFD"/>
    <w:rsid w:val="00CA3044"/>
    <w:rsid w:val="00CA7C99"/>
    <w:rsid w:val="00CB1EDC"/>
    <w:rsid w:val="00CB42A4"/>
    <w:rsid w:val="00CC45E5"/>
    <w:rsid w:val="00CD37AA"/>
    <w:rsid w:val="00CE2591"/>
    <w:rsid w:val="00CE61C4"/>
    <w:rsid w:val="00CE6942"/>
    <w:rsid w:val="00CE7BB3"/>
    <w:rsid w:val="00CF5F50"/>
    <w:rsid w:val="00CF644B"/>
    <w:rsid w:val="00D0170B"/>
    <w:rsid w:val="00D0242C"/>
    <w:rsid w:val="00D05B46"/>
    <w:rsid w:val="00D06D53"/>
    <w:rsid w:val="00D07EC2"/>
    <w:rsid w:val="00D10DB5"/>
    <w:rsid w:val="00D2248A"/>
    <w:rsid w:val="00D273A7"/>
    <w:rsid w:val="00D36620"/>
    <w:rsid w:val="00D5701B"/>
    <w:rsid w:val="00D63DF4"/>
    <w:rsid w:val="00D65C4C"/>
    <w:rsid w:val="00D671E2"/>
    <w:rsid w:val="00D7762D"/>
    <w:rsid w:val="00D84D5D"/>
    <w:rsid w:val="00D970A7"/>
    <w:rsid w:val="00DA1639"/>
    <w:rsid w:val="00DA4566"/>
    <w:rsid w:val="00DB1E62"/>
    <w:rsid w:val="00DC12FC"/>
    <w:rsid w:val="00DC2401"/>
    <w:rsid w:val="00DC4AD8"/>
    <w:rsid w:val="00DF2237"/>
    <w:rsid w:val="00DF4E0B"/>
    <w:rsid w:val="00E067D6"/>
    <w:rsid w:val="00E223E6"/>
    <w:rsid w:val="00E25062"/>
    <w:rsid w:val="00E3513C"/>
    <w:rsid w:val="00E36B8C"/>
    <w:rsid w:val="00E40E8A"/>
    <w:rsid w:val="00E43AAD"/>
    <w:rsid w:val="00E52581"/>
    <w:rsid w:val="00E54BFB"/>
    <w:rsid w:val="00E54D3B"/>
    <w:rsid w:val="00E579BC"/>
    <w:rsid w:val="00E615B4"/>
    <w:rsid w:val="00E61948"/>
    <w:rsid w:val="00E66CB7"/>
    <w:rsid w:val="00E76FE8"/>
    <w:rsid w:val="00E85853"/>
    <w:rsid w:val="00E943C6"/>
    <w:rsid w:val="00EA11F3"/>
    <w:rsid w:val="00EA2E74"/>
    <w:rsid w:val="00EB4189"/>
    <w:rsid w:val="00EB6983"/>
    <w:rsid w:val="00EC3E20"/>
    <w:rsid w:val="00EC4B82"/>
    <w:rsid w:val="00EC7B34"/>
    <w:rsid w:val="00ED7925"/>
    <w:rsid w:val="00EE1A09"/>
    <w:rsid w:val="00EF3B4C"/>
    <w:rsid w:val="00F05884"/>
    <w:rsid w:val="00F07675"/>
    <w:rsid w:val="00F107FE"/>
    <w:rsid w:val="00F1386E"/>
    <w:rsid w:val="00F13E69"/>
    <w:rsid w:val="00F14AF9"/>
    <w:rsid w:val="00F376BC"/>
    <w:rsid w:val="00F44227"/>
    <w:rsid w:val="00F445DC"/>
    <w:rsid w:val="00F44914"/>
    <w:rsid w:val="00F6446F"/>
    <w:rsid w:val="00F64EF7"/>
    <w:rsid w:val="00F67FDA"/>
    <w:rsid w:val="00F70996"/>
    <w:rsid w:val="00F71E48"/>
    <w:rsid w:val="00F74512"/>
    <w:rsid w:val="00F93982"/>
    <w:rsid w:val="00F960A3"/>
    <w:rsid w:val="00FA1A47"/>
    <w:rsid w:val="00FB2C63"/>
    <w:rsid w:val="00FB6B4C"/>
    <w:rsid w:val="00FC4B67"/>
    <w:rsid w:val="00FD6BE1"/>
    <w:rsid w:val="00FE271C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  <w:style w:type="table" w:styleId="TableGrid">
    <w:name w:val="Table Grid"/>
    <w:basedOn w:val="TableNormal"/>
    <w:uiPriority w:val="59"/>
    <w:rsid w:val="00EB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  <w:style w:type="table" w:styleId="TableGrid">
    <w:name w:val="Table Grid"/>
    <w:basedOn w:val="TableNormal"/>
    <w:uiPriority w:val="59"/>
    <w:rsid w:val="00EB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ealerRebates@egia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gia.org/daik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E22F1-E99F-4759-B3A8-A534DFAC0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Goodman Manufacturing</Company>
  <LinksUpToDate>false</LinksUpToDate>
  <CharactersWithSpaces>6817</CharactersWithSpaces>
  <SharedDoc>false</SharedDoc>
  <HLinks>
    <vt:vector size="24" baseType="variant">
      <vt:variant>
        <vt:i4>5505038</vt:i4>
      </vt:variant>
      <vt:variant>
        <vt:i4>9</vt:i4>
      </vt:variant>
      <vt:variant>
        <vt:i4>0</vt:i4>
      </vt:variant>
      <vt:variant>
        <vt:i4>5</vt:i4>
      </vt:variant>
      <vt:variant>
        <vt:lpwstr>http://www.daikincomfort.com/</vt:lpwstr>
      </vt:variant>
      <vt:variant>
        <vt:lpwstr/>
      </vt:variant>
      <vt:variant>
        <vt:i4>3145786</vt:i4>
      </vt:variant>
      <vt:variant>
        <vt:i4>6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3145786</vt:i4>
      </vt:variant>
      <vt:variant>
        <vt:i4>3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4915270</vt:i4>
      </vt:variant>
      <vt:variant>
        <vt:i4>0</vt:i4>
      </vt:variant>
      <vt:variant>
        <vt:i4>0</vt:i4>
      </vt:variant>
      <vt:variant>
        <vt:i4>5</vt:i4>
      </vt:variant>
      <vt:variant>
        <vt:lpwstr>http://www.daikincomfort.com/daikinoffers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Stevens, Beth A.</dc:creator>
  <cp:lastModifiedBy>Grigg, Jason K.</cp:lastModifiedBy>
  <cp:revision>4</cp:revision>
  <cp:lastPrinted>2019-04-12T16:05:00Z</cp:lastPrinted>
  <dcterms:created xsi:type="dcterms:W3CDTF">2019-04-11T18:11:00Z</dcterms:created>
  <dcterms:modified xsi:type="dcterms:W3CDTF">2019-04-12T16:06:00Z</dcterms:modified>
</cp:coreProperties>
</file>