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91B" w:rsidRDefault="008D391B" w:rsidP="008D391B">
      <w:pPr>
        <w:outlineLvl w:val="0"/>
      </w:pPr>
      <w:r>
        <w:rPr>
          <w:b/>
          <w:bCs/>
        </w:rPr>
        <w:t>From:</w:t>
      </w:r>
      <w:r>
        <w:t xml:space="preserve"> programs &lt;</w:t>
      </w:r>
      <w:hyperlink r:id="rId4" w:history="1">
        <w:r>
          <w:rPr>
            <w:rStyle w:val="Hyperlink"/>
          </w:rPr>
          <w:t>programs@goodmanmfg.com</w:t>
        </w:r>
      </w:hyperlink>
      <w:r>
        <w:t xml:space="preserve">&gt; </w:t>
      </w:r>
      <w:r>
        <w:br/>
      </w:r>
      <w:r>
        <w:rPr>
          <w:b/>
          <w:bCs/>
        </w:rPr>
        <w:t>Sent:</w:t>
      </w:r>
      <w:r>
        <w:t xml:space="preserve"> Monday, March 8, 2021 4:03 PM</w:t>
      </w:r>
      <w:r>
        <w:br/>
      </w:r>
      <w:r>
        <w:rPr>
          <w:b/>
          <w:bCs/>
        </w:rPr>
        <w:t>To:</w:t>
      </w:r>
      <w:r>
        <w:t xml:space="preserve"> Hewitt, Kathleen &lt;</w:t>
      </w:r>
      <w:hyperlink r:id="rId5" w:history="1">
        <w:r>
          <w:rPr>
            <w:rStyle w:val="Hyperlink"/>
          </w:rPr>
          <w:t>Kathleen.Hewitt@goodmanmfg.com</w:t>
        </w:r>
      </w:hyperlink>
      <w:r>
        <w:t>&gt;</w:t>
      </w:r>
      <w:r>
        <w:br/>
      </w:r>
      <w:r>
        <w:rPr>
          <w:b/>
          <w:bCs/>
        </w:rPr>
        <w:t>Subject:</w:t>
      </w:r>
      <w:r>
        <w:t xml:space="preserve"> Finance Buydown Form Approval</w:t>
      </w:r>
    </w:p>
    <w:p w:rsidR="008D391B" w:rsidRDefault="008D391B" w:rsidP="008D391B"/>
    <w:tbl>
      <w:tblPr>
        <w:tblW w:w="0" w:type="auto"/>
        <w:tblCellSpacing w:w="22" w:type="dxa"/>
        <w:tblCellMar>
          <w:left w:w="0" w:type="dxa"/>
          <w:right w:w="0" w:type="dxa"/>
        </w:tblCellMar>
        <w:tblLook w:val="04A0" w:firstRow="1" w:lastRow="0" w:firstColumn="1" w:lastColumn="0" w:noHBand="0" w:noVBand="1"/>
      </w:tblPr>
      <w:tblGrid>
        <w:gridCol w:w="9360"/>
      </w:tblGrid>
      <w:tr w:rsidR="008D391B" w:rsidTr="008D391B">
        <w:trPr>
          <w:tblCellSpacing w:w="22" w:type="dxa"/>
        </w:trPr>
        <w:tc>
          <w:tcPr>
            <w:tcW w:w="0" w:type="auto"/>
            <w:tcMar>
              <w:top w:w="15" w:type="dxa"/>
              <w:left w:w="15" w:type="dxa"/>
              <w:bottom w:w="15" w:type="dxa"/>
              <w:right w:w="15" w:type="dxa"/>
            </w:tcMar>
            <w:vAlign w:val="center"/>
            <w:hideMark/>
          </w:tcPr>
          <w:p w:rsidR="008D391B" w:rsidRDefault="008D391B">
            <w:pPr>
              <w:rPr>
                <w:rFonts w:ascii="Verdana" w:hAnsi="Verdana"/>
                <w:color w:val="808080"/>
                <w:sz w:val="15"/>
                <w:szCs w:val="15"/>
              </w:rPr>
            </w:pPr>
            <w:r>
              <w:rPr>
                <w:rFonts w:ascii="Verdana" w:hAnsi="Verdana"/>
                <w:color w:val="808080"/>
                <w:sz w:val="15"/>
                <w:szCs w:val="15"/>
              </w:rPr>
              <w:t xml:space="preserve">Note: Please do not reply to this message via email. This address is automated no reply address that does not accept emails. For support please email </w:t>
            </w:r>
            <w:hyperlink r:id="rId6" w:history="1">
              <w:r>
                <w:rPr>
                  <w:rStyle w:val="Hyperlink"/>
                  <w:rFonts w:ascii="Verdana" w:hAnsi="Verdana"/>
                  <w:sz w:val="15"/>
                  <w:szCs w:val="15"/>
                </w:rPr>
                <w:t>PAPSupport@goodmanmfg.com</w:t>
              </w:r>
            </w:hyperlink>
            <w:r>
              <w:rPr>
                <w:rFonts w:ascii="Verdana" w:hAnsi="Verdana"/>
                <w:color w:val="808080"/>
                <w:sz w:val="15"/>
                <w:szCs w:val="15"/>
              </w:rPr>
              <w:t>.</w:t>
            </w:r>
          </w:p>
        </w:tc>
      </w:tr>
    </w:tbl>
    <w:p w:rsidR="008D391B" w:rsidRDefault="008D391B" w:rsidP="008D391B">
      <w:pPr>
        <w:spacing w:after="240"/>
        <w:rPr>
          <w:sz w:val="20"/>
          <w:szCs w:val="20"/>
        </w:rPr>
      </w:pPr>
    </w:p>
    <w:tbl>
      <w:tblPr>
        <w:tblW w:w="0" w:type="auto"/>
        <w:tblCellSpacing w:w="22" w:type="dxa"/>
        <w:tblCellMar>
          <w:left w:w="0" w:type="dxa"/>
          <w:right w:w="0" w:type="dxa"/>
        </w:tblCellMar>
        <w:tblLook w:val="04A0" w:firstRow="1" w:lastRow="0" w:firstColumn="1" w:lastColumn="0" w:noHBand="0" w:noVBand="1"/>
      </w:tblPr>
      <w:tblGrid>
        <w:gridCol w:w="4432"/>
      </w:tblGrid>
      <w:tr w:rsidR="008D391B" w:rsidTr="008D391B">
        <w:trPr>
          <w:tblCellSpacing w:w="22" w:type="dxa"/>
        </w:trPr>
        <w:tc>
          <w:tcPr>
            <w:tcW w:w="0" w:type="auto"/>
            <w:tcMar>
              <w:top w:w="15" w:type="dxa"/>
              <w:left w:w="15" w:type="dxa"/>
              <w:bottom w:w="15" w:type="dxa"/>
              <w:right w:w="15" w:type="dxa"/>
            </w:tcMar>
            <w:vAlign w:val="center"/>
            <w:hideMark/>
          </w:tcPr>
          <w:p w:rsidR="008D391B" w:rsidRDefault="008D391B">
            <w:pPr>
              <w:rPr>
                <w:rFonts w:ascii="Verdana" w:hAnsi="Verdana"/>
                <w:sz w:val="18"/>
                <w:szCs w:val="18"/>
              </w:rPr>
            </w:pPr>
            <w:r>
              <w:rPr>
                <w:rFonts w:ascii="Verdana" w:hAnsi="Verdana"/>
                <w:b/>
                <w:bCs/>
                <w:sz w:val="18"/>
                <w:szCs w:val="18"/>
              </w:rPr>
              <w:t>The following form has been approved:</w:t>
            </w:r>
          </w:p>
        </w:tc>
      </w:tr>
      <w:tr w:rsidR="008D391B" w:rsidTr="008D391B">
        <w:trPr>
          <w:tblCellSpacing w:w="22" w:type="dxa"/>
        </w:trPr>
        <w:tc>
          <w:tcPr>
            <w:tcW w:w="0" w:type="auto"/>
            <w:tcMar>
              <w:top w:w="15" w:type="dxa"/>
              <w:left w:w="15" w:type="dxa"/>
              <w:bottom w:w="15" w:type="dxa"/>
              <w:right w:w="15" w:type="dxa"/>
            </w:tcMar>
            <w:vAlign w:val="center"/>
            <w:hideMark/>
          </w:tcPr>
          <w:p w:rsidR="008D391B" w:rsidRDefault="008D391B">
            <w:pPr>
              <w:rPr>
                <w:rFonts w:ascii="Verdana" w:hAnsi="Verdana"/>
                <w:sz w:val="18"/>
                <w:szCs w:val="18"/>
              </w:rPr>
            </w:pPr>
            <w:r>
              <w:rPr>
                <w:rFonts w:ascii="Verdana" w:hAnsi="Verdana"/>
                <w:b/>
                <w:bCs/>
                <w:sz w:val="18"/>
                <w:szCs w:val="18"/>
              </w:rPr>
              <w:t>Form ID:</w:t>
            </w:r>
            <w:r>
              <w:rPr>
                <w:rFonts w:ascii="Verdana" w:hAnsi="Verdana"/>
                <w:sz w:val="18"/>
                <w:szCs w:val="18"/>
              </w:rPr>
              <w:t xml:space="preserve"> 21021048730111094 </w:t>
            </w:r>
          </w:p>
        </w:tc>
      </w:tr>
      <w:tr w:rsidR="008D391B" w:rsidTr="008D391B">
        <w:trPr>
          <w:tblCellSpacing w:w="22" w:type="dxa"/>
        </w:trPr>
        <w:tc>
          <w:tcPr>
            <w:tcW w:w="0" w:type="auto"/>
            <w:tcMar>
              <w:top w:w="15" w:type="dxa"/>
              <w:left w:w="15" w:type="dxa"/>
              <w:bottom w:w="15" w:type="dxa"/>
              <w:right w:w="15" w:type="dxa"/>
            </w:tcMar>
            <w:vAlign w:val="center"/>
            <w:hideMark/>
          </w:tcPr>
          <w:p w:rsidR="008D391B" w:rsidRDefault="008D391B">
            <w:pPr>
              <w:rPr>
                <w:rFonts w:ascii="Verdana" w:hAnsi="Verdana"/>
                <w:sz w:val="18"/>
                <w:szCs w:val="18"/>
              </w:rPr>
            </w:pPr>
            <w:r>
              <w:rPr>
                <w:rFonts w:ascii="Verdana" w:hAnsi="Verdana"/>
                <w:b/>
                <w:bCs/>
                <w:sz w:val="18"/>
                <w:szCs w:val="18"/>
              </w:rPr>
              <w:t xml:space="preserve">Form </w:t>
            </w:r>
            <w:proofErr w:type="spellStart"/>
            <w:proofErr w:type="gramStart"/>
            <w:r>
              <w:rPr>
                <w:rFonts w:ascii="Verdana" w:hAnsi="Verdana"/>
                <w:b/>
                <w:bCs/>
                <w:sz w:val="18"/>
                <w:szCs w:val="18"/>
              </w:rPr>
              <w:t>Type:</w:t>
            </w:r>
            <w:r>
              <w:rPr>
                <w:rFonts w:ascii="Verdana" w:hAnsi="Verdana"/>
                <w:sz w:val="18"/>
                <w:szCs w:val="18"/>
              </w:rPr>
              <w:t>Finance</w:t>
            </w:r>
            <w:proofErr w:type="spellEnd"/>
            <w:proofErr w:type="gramEnd"/>
            <w:r>
              <w:rPr>
                <w:rFonts w:ascii="Verdana" w:hAnsi="Verdana"/>
                <w:sz w:val="18"/>
                <w:szCs w:val="18"/>
              </w:rPr>
              <w:t xml:space="preserve"> Buydown </w:t>
            </w:r>
          </w:p>
        </w:tc>
      </w:tr>
      <w:tr w:rsidR="008D391B" w:rsidTr="008D391B">
        <w:trPr>
          <w:tblCellSpacing w:w="22" w:type="dxa"/>
        </w:trPr>
        <w:tc>
          <w:tcPr>
            <w:tcW w:w="0" w:type="auto"/>
            <w:tcMar>
              <w:top w:w="15" w:type="dxa"/>
              <w:left w:w="15" w:type="dxa"/>
              <w:bottom w:w="15" w:type="dxa"/>
              <w:right w:w="15" w:type="dxa"/>
            </w:tcMar>
            <w:vAlign w:val="center"/>
            <w:hideMark/>
          </w:tcPr>
          <w:p w:rsidR="008D391B" w:rsidRDefault="008D391B">
            <w:pPr>
              <w:rPr>
                <w:rFonts w:ascii="Verdana" w:hAnsi="Verdana"/>
                <w:sz w:val="18"/>
                <w:szCs w:val="18"/>
              </w:rPr>
            </w:pPr>
            <w:r>
              <w:rPr>
                <w:rFonts w:ascii="Verdana" w:hAnsi="Verdana"/>
                <w:b/>
                <w:bCs/>
                <w:sz w:val="18"/>
                <w:szCs w:val="18"/>
              </w:rPr>
              <w:t>Submitting Distributor:</w:t>
            </w:r>
            <w:r>
              <w:rPr>
                <w:rFonts w:ascii="Verdana" w:hAnsi="Verdana"/>
                <w:sz w:val="18"/>
                <w:szCs w:val="18"/>
              </w:rPr>
              <w:t xml:space="preserve"> GDI - CANTON (124)</w:t>
            </w:r>
          </w:p>
        </w:tc>
      </w:tr>
      <w:tr w:rsidR="008D391B" w:rsidTr="008D391B">
        <w:trPr>
          <w:tblCellSpacing w:w="22" w:type="dxa"/>
        </w:trPr>
        <w:tc>
          <w:tcPr>
            <w:tcW w:w="0" w:type="auto"/>
            <w:tcMar>
              <w:top w:w="15" w:type="dxa"/>
              <w:left w:w="15" w:type="dxa"/>
              <w:bottom w:w="15" w:type="dxa"/>
              <w:right w:w="15" w:type="dxa"/>
            </w:tcMar>
            <w:vAlign w:val="center"/>
            <w:hideMark/>
          </w:tcPr>
          <w:p w:rsidR="008D391B" w:rsidRDefault="008D391B">
            <w:pPr>
              <w:rPr>
                <w:rFonts w:ascii="Verdana" w:hAnsi="Verdana"/>
                <w:sz w:val="18"/>
                <w:szCs w:val="18"/>
              </w:rPr>
            </w:pPr>
            <w:r>
              <w:rPr>
                <w:rFonts w:ascii="Verdana" w:hAnsi="Verdana"/>
                <w:b/>
                <w:bCs/>
                <w:sz w:val="18"/>
                <w:szCs w:val="18"/>
              </w:rPr>
              <w:t>Date Submitted:</w:t>
            </w:r>
            <w:r>
              <w:rPr>
                <w:rFonts w:ascii="Verdana" w:hAnsi="Verdana"/>
                <w:sz w:val="18"/>
                <w:szCs w:val="18"/>
              </w:rPr>
              <w:t xml:space="preserve"> 2/8/2021 10:09:06 AM</w:t>
            </w:r>
          </w:p>
        </w:tc>
      </w:tr>
    </w:tbl>
    <w:p w:rsidR="008D391B" w:rsidRDefault="008D391B" w:rsidP="008D391B">
      <w:pPr>
        <w:spacing w:after="240"/>
        <w:rPr>
          <w:sz w:val="20"/>
          <w:szCs w:val="20"/>
        </w:rPr>
      </w:pPr>
    </w:p>
    <w:tbl>
      <w:tblPr>
        <w:tblW w:w="7500" w:type="dxa"/>
        <w:tblCellSpacing w:w="22"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462"/>
        <w:gridCol w:w="3038"/>
      </w:tblGrid>
      <w:tr w:rsidR="008D391B" w:rsidTr="008D391B">
        <w:trPr>
          <w:tblCellSpacing w:w="22" w:type="dxa"/>
        </w:trPr>
        <w:tc>
          <w:tcPr>
            <w:tcW w:w="1500" w:type="dxa"/>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Form ID:</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21021048730111094</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Date:</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2/8/2021 10:09:06 AM</w:t>
            </w:r>
          </w:p>
        </w:tc>
      </w:tr>
      <w:tr w:rsidR="008D391B" w:rsidTr="008D391B">
        <w:trPr>
          <w:tblCellSpacing w:w="22" w:type="dxa"/>
        </w:trPr>
        <w:tc>
          <w:tcPr>
            <w:tcW w:w="1950" w:type="dxa"/>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Distributor ID:</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10487301</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Distributor Name:</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GDI - CANTON (124)</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User Name:</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Kathleen Hewitt</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 </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Street:</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261 Shore Dr</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City:</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Burr Ridge</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State:</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IL</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Zip:</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60527</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Phone:</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6303255526</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Fax:</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6303255561</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proofErr w:type="spellStart"/>
            <w:r>
              <w:rPr>
                <w:sz w:val="15"/>
                <w:szCs w:val="15"/>
              </w:rPr>
              <w:t>Mincron</w:t>
            </w:r>
            <w:proofErr w:type="spellEnd"/>
            <w:r>
              <w:rPr>
                <w:sz w:val="15"/>
                <w:szCs w:val="15"/>
              </w:rPr>
              <w:t xml:space="preserve"> #:</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193452</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Dealer Name:</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 xml:space="preserve">SUMMERS OF CHICAGO LLC </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Address:</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 </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Street:</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 xml:space="preserve">* DBA SUMMERS PLBG HTG &amp; CLG 1693 E NORTHFIELD DR </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City:</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 xml:space="preserve">BROWNSBURG </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State:</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IN</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Zip:</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 xml:space="preserve">46112 </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Phone:</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3178585248</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Program Tag:</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Eligible Brands:</w:t>
            </w:r>
          </w:p>
        </w:tc>
        <w:tc>
          <w:tcPr>
            <w:tcW w:w="0" w:type="auto"/>
            <w:tcBorders>
              <w:top w:val="nil"/>
              <w:left w:val="nil"/>
              <w:bottom w:val="nil"/>
              <w:right w:val="nil"/>
            </w:tcBorders>
            <w:tcMar>
              <w:top w:w="15" w:type="dxa"/>
              <w:left w:w="15" w:type="dxa"/>
              <w:bottom w:w="15" w:type="dxa"/>
              <w:right w:w="15" w:type="dxa"/>
            </w:tcMar>
            <w:vAlign w:val="center"/>
            <w:hideMark/>
          </w:tcPr>
          <w:tbl>
            <w:tblPr>
              <w:tblW w:w="0" w:type="auto"/>
              <w:tblCellSpacing w:w="22" w:type="dxa"/>
              <w:tblCellMar>
                <w:left w:w="0" w:type="dxa"/>
                <w:right w:w="0" w:type="dxa"/>
              </w:tblCellMar>
              <w:tblLook w:val="04A0" w:firstRow="1" w:lastRow="0" w:firstColumn="1" w:lastColumn="0" w:noHBand="0" w:noVBand="1"/>
            </w:tblPr>
            <w:tblGrid>
              <w:gridCol w:w="1216"/>
            </w:tblGrid>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Unitary</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Unitary</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Daikin Ductless</w:t>
                  </w:r>
                </w:p>
              </w:tc>
            </w:tr>
          </w:tbl>
          <w:p w:rsidR="008D391B" w:rsidRDefault="008D391B">
            <w:pPr>
              <w:rPr>
                <w:rFonts w:ascii="Times New Roman" w:eastAsia="Times New Roman" w:hAnsi="Times New Roman" w:cs="Times New Roman"/>
                <w:sz w:val="20"/>
                <w:szCs w:val="20"/>
              </w:rPr>
            </w:pP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Eligible finance offers:</w:t>
            </w:r>
          </w:p>
        </w:tc>
        <w:tc>
          <w:tcPr>
            <w:tcW w:w="0" w:type="auto"/>
            <w:tcBorders>
              <w:top w:val="nil"/>
              <w:left w:val="nil"/>
              <w:bottom w:val="nil"/>
              <w:right w:val="nil"/>
            </w:tcBorders>
            <w:tcMar>
              <w:top w:w="15" w:type="dxa"/>
              <w:left w:w="15" w:type="dxa"/>
              <w:bottom w:w="15" w:type="dxa"/>
              <w:right w:w="15" w:type="dxa"/>
            </w:tcMar>
            <w:vAlign w:val="center"/>
            <w:hideMark/>
          </w:tcPr>
          <w:tbl>
            <w:tblPr>
              <w:tblW w:w="0" w:type="auto"/>
              <w:tblCellSpacing w:w="22" w:type="dxa"/>
              <w:tblCellMar>
                <w:left w:w="0" w:type="dxa"/>
                <w:right w:w="0" w:type="dxa"/>
              </w:tblCellMar>
              <w:tblLook w:val="04A0" w:firstRow="1" w:lastRow="0" w:firstColumn="1" w:lastColumn="0" w:noHBand="0" w:noVBand="1"/>
            </w:tblPr>
            <w:tblGrid>
              <w:gridCol w:w="1825"/>
            </w:tblGrid>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3% Contractor Fee Discount</w:t>
                  </w:r>
                </w:p>
              </w:tc>
            </w:tr>
          </w:tbl>
          <w:p w:rsidR="008D391B" w:rsidRDefault="008D391B">
            <w:pPr>
              <w:rPr>
                <w:rFonts w:ascii="Times New Roman" w:eastAsia="Times New Roman" w:hAnsi="Times New Roman" w:cs="Times New Roman"/>
                <w:sz w:val="20"/>
                <w:szCs w:val="20"/>
              </w:rPr>
            </w:pP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rFonts w:ascii="Times New Roman" w:eastAsia="Times New Roman" w:hAnsi="Times New Roman" w:cs="Times New Roman"/>
                <w:sz w:val="20"/>
                <w:szCs w:val="20"/>
              </w:rPr>
            </w:pP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rFonts w:ascii="Times New Roman" w:eastAsia="Times New Roman" w:hAnsi="Times New Roman" w:cs="Times New Roman"/>
                <w:sz w:val="20"/>
                <w:szCs w:val="20"/>
              </w:rPr>
            </w:pP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Eligible product families:</w:t>
            </w:r>
          </w:p>
        </w:tc>
        <w:tc>
          <w:tcPr>
            <w:tcW w:w="0" w:type="auto"/>
            <w:tcBorders>
              <w:top w:val="nil"/>
              <w:left w:val="nil"/>
              <w:bottom w:val="nil"/>
              <w:right w:val="nil"/>
            </w:tcBorders>
            <w:tcMar>
              <w:top w:w="15" w:type="dxa"/>
              <w:left w:w="15" w:type="dxa"/>
              <w:bottom w:w="15" w:type="dxa"/>
              <w:right w:w="15" w:type="dxa"/>
            </w:tcMar>
            <w:vAlign w:val="center"/>
            <w:hideMark/>
          </w:tcPr>
          <w:tbl>
            <w:tblPr>
              <w:tblW w:w="0" w:type="auto"/>
              <w:tblCellSpacing w:w="22" w:type="dxa"/>
              <w:tblCellMar>
                <w:left w:w="0" w:type="dxa"/>
                <w:right w:w="0" w:type="dxa"/>
              </w:tblCellMar>
              <w:tblLook w:val="04A0" w:firstRow="1" w:lastRow="0" w:firstColumn="1" w:lastColumn="0" w:noHBand="0" w:noVBand="1"/>
            </w:tblPr>
            <w:tblGrid>
              <w:gridCol w:w="2942"/>
            </w:tblGrid>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80% Furnaces</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80% Furnaces (Variable Speed)</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90% Furnaces</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95%+ Furnaces</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95%+ Furnaces (Variable Speed)</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lastRenderedPageBreak/>
                    <w:t>Amana 96%+ Modulating Furnaces</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Condensers 13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Condensers 13 SEER (Base)</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Condensers 14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Condensers 16 SEER (single stage)</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Condensers 16 SEER (two stage)</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Condensers 18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Condensers 20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Heat Pumps 13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Heat Pumps 13 SEER (Base)</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Heat Pumps 14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Heat Pumps 16 SEER (single stage)</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Heat Pumps 16 SEER (two stage)</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Heat Pumps 18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Package Cool 13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Package Cool 14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Package Cool 15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Package Dual Fuel 14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Package Gas 13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Package Gas 15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Package Gas 16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Package Heat 13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Package Heat 14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Package Heat 15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Package Heat 16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95%+ Furnaces</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95%+ Furnaces (Variable Speed)</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96%+ Modulating Furnaces</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Condensers 13 SEER (R-410A)</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Condensers 14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Condensers 16 SEER (single stage)</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Condensers 16 SEER (two stage)</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Condensers 18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Heat Pumps 13 SEER (R-410A)</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Heat Pumps 14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Heat Pumps 16 SEER (single stage)</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Heat Pumps 16 SEER (two stage)</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Heat Pumps 18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Package Cool 13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Package Cool 14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Package Cool 15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Package Dual Fuel 14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Package Gas 13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Package Gas 15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Package Gas 16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Package Heat 13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Package Heat 14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Package Heat 15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lastRenderedPageBreak/>
                    <w:t>Goodman Package Heat 16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Variable Speed Air Handlers</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Variable Speed Modular Blower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80% Furnaces</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80% Furnaces (Variable Speed)</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90% Furnaces</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Daikin Ductless - 15 Series</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Daikin Ductless - 19 Series</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Daikin Ductless - LV Series</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Daikin Ductless - Quaternity FTXG</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Package Gas 14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 Heat Pumps 20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14 SEER Gas Electric Package Units</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2MXL_QMVJU - Daikin AURORA Series Outdoor Multi-Split Heat Pump</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Daikin 17 Series</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Daikin Ductless - Multi Split MXS</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3MXL_RMVJU - Daikin AURORA Series Outdoor Multi-Split Heat Pump</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Goodman Package Gas 14 SEER</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3MXL_QMVJU - Daikin AURORA Series Outdoor Multi-Split Heat Pump</w:t>
                  </w:r>
                </w:p>
              </w:tc>
            </w:tr>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4MXL_TVJU - Daikin AURORA Series Outdoor Multi-Split Heat Pump</w:t>
                  </w:r>
                </w:p>
              </w:tc>
            </w:tr>
          </w:tbl>
          <w:p w:rsidR="008D391B" w:rsidRDefault="008D391B">
            <w:pPr>
              <w:rPr>
                <w:rFonts w:ascii="Times New Roman" w:eastAsia="Times New Roman" w:hAnsi="Times New Roman" w:cs="Times New Roman"/>
                <w:sz w:val="20"/>
                <w:szCs w:val="20"/>
              </w:rPr>
            </w:pP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rFonts w:ascii="Times New Roman" w:eastAsia="Times New Roman" w:hAnsi="Times New Roman" w:cs="Times New Roman"/>
                <w:sz w:val="20"/>
                <w:szCs w:val="20"/>
              </w:rPr>
            </w:pP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 xml:space="preserve">I understand the actual discount to contractor will not to exceed published contractor fee and will communicate this information to the registered dealer once or if </w:t>
            </w:r>
            <w:proofErr w:type="spellStart"/>
            <w:r>
              <w:rPr>
                <w:sz w:val="15"/>
                <w:szCs w:val="15"/>
              </w:rPr>
              <w:t>approved</w:t>
            </w:r>
            <w:proofErr w:type="gramStart"/>
            <w:r>
              <w:rPr>
                <w:sz w:val="15"/>
                <w:szCs w:val="15"/>
              </w:rPr>
              <w:t>.:Yes</w:t>
            </w:r>
            <w:proofErr w:type="spellEnd"/>
            <w:proofErr w:type="gramEnd"/>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Select the product line that will account for the largest portion of the requested program:</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Amana Unitary</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Start Date:</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1/1/2021</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End Date:</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12/31/2021</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p>
        </w:tc>
        <w:tc>
          <w:tcPr>
            <w:tcW w:w="0" w:type="auto"/>
            <w:tcBorders>
              <w:top w:val="nil"/>
              <w:left w:val="nil"/>
              <w:bottom w:val="nil"/>
              <w:right w:val="nil"/>
            </w:tcBorders>
            <w:tcMar>
              <w:top w:w="15" w:type="dxa"/>
              <w:left w:w="15" w:type="dxa"/>
              <w:bottom w:w="15" w:type="dxa"/>
              <w:right w:w="15" w:type="dxa"/>
            </w:tcMar>
            <w:vAlign w:val="center"/>
            <w:hideMark/>
          </w:tcPr>
          <w:tbl>
            <w:tblPr>
              <w:tblW w:w="0" w:type="auto"/>
              <w:jc w:val="center"/>
              <w:tblCellSpacing w:w="22"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42"/>
              <w:gridCol w:w="413"/>
              <w:gridCol w:w="810"/>
            </w:tblGrid>
            <w:tr w:rsidR="008D391B">
              <w:trPr>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Month</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Year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Sales</w:t>
                  </w:r>
                </w:p>
              </w:tc>
            </w:tr>
            <w:tr w:rsidR="008D391B">
              <w:trPr>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Jan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2020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0.00</w:t>
                  </w:r>
                </w:p>
              </w:tc>
            </w:tr>
            <w:tr w:rsidR="008D391B">
              <w:trPr>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Feb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2020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0.00</w:t>
                  </w:r>
                </w:p>
              </w:tc>
            </w:tr>
            <w:tr w:rsidR="008D391B">
              <w:trPr>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Mar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2020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0.00</w:t>
                  </w:r>
                </w:p>
              </w:tc>
            </w:tr>
            <w:tr w:rsidR="008D391B">
              <w:trPr>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Apr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2020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0.00</w:t>
                  </w:r>
                </w:p>
              </w:tc>
            </w:tr>
            <w:tr w:rsidR="008D391B">
              <w:trPr>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May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2020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5,215.00</w:t>
                  </w:r>
                </w:p>
              </w:tc>
            </w:tr>
            <w:tr w:rsidR="008D391B">
              <w:trPr>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Jun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2020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17,922.00</w:t>
                  </w:r>
                </w:p>
              </w:tc>
            </w:tr>
            <w:tr w:rsidR="008D391B">
              <w:trPr>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Jul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2020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15,635.00</w:t>
                  </w:r>
                </w:p>
              </w:tc>
            </w:tr>
            <w:tr w:rsidR="008D391B">
              <w:trPr>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Aug</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2020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8,636.00</w:t>
                  </w:r>
                </w:p>
              </w:tc>
            </w:tr>
            <w:tr w:rsidR="008D391B">
              <w:trPr>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Sep</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2020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5,420.00</w:t>
                  </w:r>
                </w:p>
              </w:tc>
            </w:tr>
            <w:tr w:rsidR="008D391B">
              <w:trPr>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Oct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2020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29,822.00</w:t>
                  </w:r>
                </w:p>
              </w:tc>
            </w:tr>
            <w:tr w:rsidR="008D391B">
              <w:trPr>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Nov</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2020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13,160.00</w:t>
                  </w:r>
                </w:p>
              </w:tc>
            </w:tr>
            <w:tr w:rsidR="008D391B">
              <w:trPr>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Dec</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2020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4,407.00</w:t>
                  </w:r>
                </w:p>
              </w:tc>
            </w:tr>
            <w:tr w:rsidR="008D391B">
              <w:trPr>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Total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pPr>
                    <w:rPr>
                      <w:sz w:val="15"/>
                      <w:szCs w:val="15"/>
                    </w:rPr>
                  </w:pPr>
                  <w:r>
                    <w:rPr>
                      <w:sz w:val="15"/>
                      <w:szCs w:val="15"/>
                    </w:rPr>
                    <w:t>100,217.00</w:t>
                  </w:r>
                </w:p>
              </w:tc>
            </w:tr>
          </w:tbl>
          <w:p w:rsidR="008D391B" w:rsidRDefault="008D391B">
            <w:pPr>
              <w:jc w:val="center"/>
              <w:rPr>
                <w:rFonts w:ascii="Times New Roman" w:eastAsia="Times New Roman" w:hAnsi="Times New Roman" w:cs="Times New Roman"/>
                <w:sz w:val="20"/>
                <w:szCs w:val="20"/>
              </w:rPr>
            </w:pP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Goodman Participation Percentage:</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100</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Estimated Price Multiplier:</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0.78</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Estimated Sales for Program Period:</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9000000.00</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lastRenderedPageBreak/>
              <w:t>Estimated Share of Wallet (SOW):</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400k-500k</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Primary Dealer Type:</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AOR</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AOR Dealer Type:</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Support</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Primary Brands:</w:t>
            </w:r>
          </w:p>
        </w:tc>
        <w:tc>
          <w:tcPr>
            <w:tcW w:w="0" w:type="auto"/>
            <w:tcBorders>
              <w:top w:val="nil"/>
              <w:left w:val="nil"/>
              <w:bottom w:val="nil"/>
              <w:right w:val="nil"/>
            </w:tcBorders>
            <w:tcMar>
              <w:top w:w="15" w:type="dxa"/>
              <w:left w:w="15" w:type="dxa"/>
              <w:bottom w:w="15" w:type="dxa"/>
              <w:right w:w="15" w:type="dxa"/>
            </w:tcMar>
            <w:vAlign w:val="center"/>
            <w:hideMark/>
          </w:tcPr>
          <w:tbl>
            <w:tblPr>
              <w:tblW w:w="0" w:type="auto"/>
              <w:tblCellSpacing w:w="22" w:type="dxa"/>
              <w:tblCellMar>
                <w:left w:w="0" w:type="dxa"/>
                <w:right w:w="0" w:type="dxa"/>
              </w:tblCellMar>
              <w:tblLook w:val="04A0" w:firstRow="1" w:lastRow="0" w:firstColumn="1" w:lastColumn="0" w:noHBand="0" w:noVBand="1"/>
            </w:tblPr>
            <w:tblGrid>
              <w:gridCol w:w="558"/>
            </w:tblGrid>
            <w:tr w:rsidR="008D391B">
              <w:trPr>
                <w:tblCellSpacing w:w="22" w:type="dxa"/>
              </w:trPr>
              <w:tc>
                <w:tcPr>
                  <w:tcW w:w="0" w:type="auto"/>
                  <w:tcMar>
                    <w:top w:w="20" w:type="dxa"/>
                    <w:left w:w="20" w:type="dxa"/>
                    <w:bottom w:w="20" w:type="dxa"/>
                    <w:right w:w="20" w:type="dxa"/>
                  </w:tcMar>
                  <w:vAlign w:val="center"/>
                  <w:hideMark/>
                </w:tcPr>
                <w:p w:rsidR="008D391B" w:rsidRDefault="008D391B">
                  <w:pPr>
                    <w:rPr>
                      <w:sz w:val="15"/>
                      <w:szCs w:val="15"/>
                    </w:rPr>
                  </w:pPr>
                  <w:r>
                    <w:rPr>
                      <w:sz w:val="15"/>
                      <w:szCs w:val="15"/>
                    </w:rPr>
                    <w:t>Amana</w:t>
                  </w:r>
                </w:p>
              </w:tc>
            </w:tr>
          </w:tbl>
          <w:p w:rsidR="008D391B" w:rsidRDefault="008D391B">
            <w:pPr>
              <w:rPr>
                <w:rFonts w:ascii="Times New Roman" w:eastAsia="Times New Roman" w:hAnsi="Times New Roman" w:cs="Times New Roman"/>
                <w:sz w:val="20"/>
                <w:szCs w:val="20"/>
              </w:rPr>
            </w:pP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Objective:</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Share of Wallet Growth (SOW)</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Situation Details:</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 xml:space="preserve">15k max per job or $450 cap must be enrolled in the EGIA program </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rFonts w:ascii="Times New Roman" w:eastAsia="Times New Roman" w:hAnsi="Times New Roman" w:cs="Times New Roman"/>
                <w:sz w:val="20"/>
                <w:szCs w:val="20"/>
              </w:rPr>
            </w:pP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Attachments:</w:t>
            </w:r>
          </w:p>
        </w:tc>
        <w:tc>
          <w:tcPr>
            <w:tcW w:w="0" w:type="auto"/>
            <w:tcBorders>
              <w:top w:val="nil"/>
              <w:left w:val="nil"/>
              <w:bottom w:val="nil"/>
              <w:right w:val="nil"/>
            </w:tcBorders>
            <w:tcMar>
              <w:top w:w="15" w:type="dxa"/>
              <w:left w:w="15" w:type="dxa"/>
              <w:bottom w:w="15" w:type="dxa"/>
              <w:right w:w="15" w:type="dxa"/>
            </w:tcMar>
            <w:vAlign w:val="center"/>
            <w:hideMark/>
          </w:tcPr>
          <w:tbl>
            <w:tblPr>
              <w:tblW w:w="0" w:type="auto"/>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7"/>
              <w:gridCol w:w="994"/>
              <w:gridCol w:w="965"/>
            </w:tblGrid>
            <w:tr w:rsidR="008D391B">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006699"/>
                  <w:tcMar>
                    <w:top w:w="15" w:type="dxa"/>
                    <w:left w:w="15" w:type="dxa"/>
                    <w:bottom w:w="15" w:type="dxa"/>
                    <w:right w:w="15" w:type="dxa"/>
                  </w:tcMar>
                  <w:vAlign w:val="center"/>
                  <w:hideMark/>
                </w:tcPr>
                <w:p w:rsidR="008D391B" w:rsidRDefault="008D391B">
                  <w:pPr>
                    <w:jc w:val="center"/>
                    <w:rPr>
                      <w:b/>
                      <w:bCs/>
                    </w:rPr>
                  </w:pPr>
                  <w:r>
                    <w:rPr>
                      <w:b/>
                      <w:bCs/>
                      <w:color w:val="000000"/>
                    </w:rPr>
                    <w:t>File</w:t>
                  </w:r>
                </w:p>
              </w:tc>
              <w:tc>
                <w:tcPr>
                  <w:tcW w:w="0" w:type="auto"/>
                  <w:tcBorders>
                    <w:top w:val="outset" w:sz="6" w:space="0" w:color="auto"/>
                    <w:left w:val="outset" w:sz="6" w:space="0" w:color="auto"/>
                    <w:bottom w:val="outset" w:sz="6" w:space="0" w:color="auto"/>
                    <w:right w:val="outset" w:sz="6" w:space="0" w:color="auto"/>
                  </w:tcBorders>
                  <w:shd w:val="clear" w:color="auto" w:fill="006699"/>
                  <w:tcMar>
                    <w:top w:w="15" w:type="dxa"/>
                    <w:left w:w="15" w:type="dxa"/>
                    <w:bottom w:w="15" w:type="dxa"/>
                    <w:right w:w="15" w:type="dxa"/>
                  </w:tcMar>
                  <w:vAlign w:val="center"/>
                  <w:hideMark/>
                </w:tcPr>
                <w:p w:rsidR="008D391B" w:rsidRDefault="008D391B">
                  <w:pPr>
                    <w:jc w:val="center"/>
                    <w:rPr>
                      <w:b/>
                      <w:bCs/>
                    </w:rPr>
                  </w:pPr>
                  <w:r>
                    <w:rPr>
                      <w:b/>
                      <w:bCs/>
                      <w:color w:val="000000"/>
                    </w:rPr>
                    <w:t>Uploaded By</w:t>
                  </w:r>
                </w:p>
              </w:tc>
              <w:tc>
                <w:tcPr>
                  <w:tcW w:w="0" w:type="auto"/>
                  <w:tcBorders>
                    <w:top w:val="outset" w:sz="6" w:space="0" w:color="auto"/>
                    <w:left w:val="outset" w:sz="6" w:space="0" w:color="auto"/>
                    <w:bottom w:val="outset" w:sz="6" w:space="0" w:color="auto"/>
                    <w:right w:val="outset" w:sz="6" w:space="0" w:color="auto"/>
                  </w:tcBorders>
                  <w:shd w:val="clear" w:color="auto" w:fill="006699"/>
                  <w:tcMar>
                    <w:top w:w="15" w:type="dxa"/>
                    <w:left w:w="15" w:type="dxa"/>
                    <w:bottom w:w="15" w:type="dxa"/>
                    <w:right w:w="15" w:type="dxa"/>
                  </w:tcMar>
                  <w:vAlign w:val="center"/>
                  <w:hideMark/>
                </w:tcPr>
                <w:p w:rsidR="008D391B" w:rsidRDefault="008D391B">
                  <w:pPr>
                    <w:jc w:val="center"/>
                    <w:rPr>
                      <w:b/>
                      <w:bCs/>
                    </w:rPr>
                  </w:pPr>
                  <w:r>
                    <w:rPr>
                      <w:b/>
                      <w:bCs/>
                      <w:color w:val="000000"/>
                    </w:rPr>
                    <w:t>Date</w:t>
                  </w:r>
                </w:p>
              </w:tc>
            </w:tr>
            <w:tr w:rsidR="008D391B">
              <w:trPr>
                <w:tblCellSpacing w:w="22"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r>
                    <w:t>Summers Location Listing 2021.xlsx</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r>
                    <w:t>Kathleen Hewitt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91B" w:rsidRDefault="008D391B">
                  <w:r>
                    <w:t>2/8/2021 10:08:53 AM</w:t>
                  </w:r>
                </w:p>
              </w:tc>
            </w:tr>
          </w:tbl>
          <w:p w:rsidR="008D391B" w:rsidRDefault="008D391B">
            <w:pPr>
              <w:rPr>
                <w:rFonts w:ascii="Times New Roman" w:eastAsia="Times New Roman" w:hAnsi="Times New Roman" w:cs="Times New Roman"/>
                <w:sz w:val="20"/>
                <w:szCs w:val="20"/>
              </w:rPr>
            </w:pP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Additional Comments:</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Finance Buydown to be calculated based on accumulative total for all Summers locations. To be paid out by each individual Summers location per attached spreadsheet. Estimated Sales for Program Period is total for all Summers locations.</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Does this Dealer purchase Goodman, Amana or Daikin products from any other Distributor?</w:t>
            </w:r>
          </w:p>
        </w:tc>
        <w:tc>
          <w:tcPr>
            <w:tcW w:w="0" w:type="auto"/>
            <w:tcBorders>
              <w:top w:val="nil"/>
              <w:left w:val="nil"/>
              <w:bottom w:val="nil"/>
              <w:right w:val="nil"/>
            </w:tcBorders>
            <w:tcMar>
              <w:top w:w="15" w:type="dxa"/>
              <w:left w:w="15" w:type="dxa"/>
              <w:bottom w:w="15" w:type="dxa"/>
              <w:right w:w="15" w:type="dxa"/>
            </w:tcMar>
            <w:vAlign w:val="center"/>
            <w:hideMark/>
          </w:tcPr>
          <w:p w:rsidR="008D391B" w:rsidRDefault="008D391B">
            <w:pPr>
              <w:rPr>
                <w:sz w:val="15"/>
                <w:szCs w:val="15"/>
              </w:rPr>
            </w:pPr>
            <w:r>
              <w:rPr>
                <w:sz w:val="15"/>
                <w:szCs w:val="15"/>
              </w:rPr>
              <w:t>No</w:t>
            </w:r>
          </w:p>
        </w:tc>
      </w:tr>
      <w:tr w:rsidR="008D391B" w:rsidTr="008D391B">
        <w:trPr>
          <w:tblCellSpacing w:w="22" w:type="dxa"/>
        </w:trPr>
        <w:tc>
          <w:tcPr>
            <w:tcW w:w="0" w:type="auto"/>
            <w:tcBorders>
              <w:top w:val="nil"/>
              <w:left w:val="nil"/>
              <w:bottom w:val="nil"/>
              <w:right w:val="nil"/>
            </w:tcBorders>
            <w:tcMar>
              <w:top w:w="15" w:type="dxa"/>
              <w:left w:w="15" w:type="dxa"/>
              <w:bottom w:w="15" w:type="dxa"/>
              <w:right w:w="15" w:type="dxa"/>
            </w:tcMar>
            <w:hideMark/>
          </w:tcPr>
          <w:p w:rsidR="008D391B" w:rsidRDefault="008D391B">
            <w:pPr>
              <w:rPr>
                <w:sz w:val="15"/>
                <w:szCs w:val="15"/>
              </w:rPr>
            </w:pPr>
            <w:r>
              <w:rPr>
                <w:sz w:val="15"/>
                <w:szCs w:val="15"/>
              </w:rPr>
              <w:t>Who, Please Explain?</w:t>
            </w:r>
          </w:p>
        </w:tc>
        <w:tc>
          <w:tcPr>
            <w:tcW w:w="0" w:type="auto"/>
            <w:tcBorders>
              <w:top w:val="nil"/>
              <w:left w:val="nil"/>
              <w:bottom w:val="nil"/>
              <w:right w:val="nil"/>
            </w:tcBorders>
            <w:tcMar>
              <w:top w:w="15" w:type="dxa"/>
              <w:left w:w="15" w:type="dxa"/>
              <w:bottom w:w="15" w:type="dxa"/>
              <w:right w:w="15" w:type="dxa"/>
            </w:tcMar>
            <w:hideMark/>
          </w:tcPr>
          <w:p w:rsidR="008D391B" w:rsidRDefault="008D391B">
            <w:pPr>
              <w:rPr>
                <w:sz w:val="15"/>
                <w:szCs w:val="15"/>
              </w:rPr>
            </w:pPr>
          </w:p>
        </w:tc>
      </w:tr>
    </w:tbl>
    <w:p w:rsidR="00140BEC" w:rsidRDefault="008D391B">
      <w:bookmarkStart w:id="0" w:name="_GoBack"/>
      <w:bookmarkEnd w:id="0"/>
    </w:p>
    <w:sectPr w:rsidR="0014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11"/>
    <w:rsid w:val="0060294C"/>
    <w:rsid w:val="007326F0"/>
    <w:rsid w:val="008D391B"/>
    <w:rsid w:val="00E75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4B7F"/>
  <w15:chartTrackingRefBased/>
  <w15:docId w15:val="{99EF0D69-39ED-4B14-B2CE-86050238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91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391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Support@goodmanmfg.com" TargetMode="External"/><Relationship Id="rId5" Type="http://schemas.openxmlformats.org/officeDocument/2006/relationships/hyperlink" Target="mailto:Kathleen.Hewitt@goodmanmfg.com" TargetMode="External"/><Relationship Id="rId4" Type="http://schemas.openxmlformats.org/officeDocument/2006/relationships/hyperlink" Target="mailto:programs@goodmanmf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EGIA</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Alatorre</dc:creator>
  <cp:keywords/>
  <dc:description/>
  <cp:lastModifiedBy>Maria Alatorre</cp:lastModifiedBy>
  <cp:revision>1</cp:revision>
  <dcterms:created xsi:type="dcterms:W3CDTF">2021-03-10T18:42:00Z</dcterms:created>
  <dcterms:modified xsi:type="dcterms:W3CDTF">2021-03-10T19:08:00Z</dcterms:modified>
</cp:coreProperties>
</file>