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393D" w14:textId="77777777" w:rsidR="00F960A3" w:rsidRDefault="00A83309" w:rsidP="00F960A3">
      <w:pPr>
        <w:pStyle w:val="ListParagraph"/>
        <w:ind w:left="2160"/>
      </w:pPr>
      <w:bookmarkStart w:id="0" w:name="_Hlk106871733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38DED4" wp14:editId="69B3EAFF">
                <wp:simplePos x="0" y="0"/>
                <wp:positionH relativeFrom="column">
                  <wp:posOffset>-91440</wp:posOffset>
                </wp:positionH>
                <wp:positionV relativeFrom="paragraph">
                  <wp:posOffset>9525</wp:posOffset>
                </wp:positionV>
                <wp:extent cx="6798310" cy="276225"/>
                <wp:effectExtent l="0" t="0" r="254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EA3CD" w14:textId="06C14DBF" w:rsidR="00594A4A" w:rsidRPr="006D669A" w:rsidRDefault="009A08B0" w:rsidP="00594A4A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Amana </w:t>
                            </w:r>
                            <w:r w:rsidR="000E5E68"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Brand </w:t>
                            </w:r>
                            <w:r w:rsidR="00A8782D"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202</w:t>
                            </w:r>
                            <w:r w:rsidR="00B9474A"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3</w:t>
                            </w:r>
                            <w:r w:rsidR="009A1DD2"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4A4A"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Consumer </w:t>
                            </w:r>
                            <w:r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Program </w:t>
                            </w:r>
                            <w:r w:rsidR="006A0885"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C82559"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Instant Rebate</w:t>
                            </w:r>
                            <w:r w:rsidR="00594A4A"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0170B" w:rsidRPr="006D66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8DED4" id="AutoShape 2" o:spid="_x0000_s1026" style="position:absolute;left:0;text-align:left;margin-left:-7.2pt;margin-top:.75pt;width:535.3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" fillcolor="#c00000" stroked="f">
                <v:textbox>
                  <w:txbxContent>
                    <w:p w14:paraId="248EA3CD" w14:textId="06C14DBF" w:rsidR="00594A4A" w:rsidRPr="006D669A" w:rsidRDefault="009A08B0" w:rsidP="00594A4A">
                      <w:pPr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Amana </w:t>
                      </w:r>
                      <w:r w:rsidR="000E5E68"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Brand </w:t>
                      </w:r>
                      <w:r w:rsidR="00A8782D"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>202</w:t>
                      </w:r>
                      <w:r w:rsidR="00B9474A"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>3</w:t>
                      </w:r>
                      <w:r w:rsidR="009A1DD2"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594A4A"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Consumer </w:t>
                      </w:r>
                      <w:r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Program </w:t>
                      </w:r>
                      <w:r w:rsidR="006A0885"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– </w:t>
                      </w:r>
                      <w:r w:rsidR="00C82559"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>Instant Rebate</w:t>
                      </w:r>
                      <w:r w:rsidR="00594A4A"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 </w:t>
                      </w:r>
                      <w:r w:rsidR="00D0170B" w:rsidRPr="006D669A">
                        <w:rPr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4989CCA0" w14:textId="42A118DE"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14:paraId="19533A6F" w14:textId="45CEEB3E" w:rsidR="00C82559" w:rsidRPr="001E03D8" w:rsidRDefault="00C82559" w:rsidP="00C82559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6"/>
          <w:szCs w:val="16"/>
          <w:u w:val="single"/>
        </w:rPr>
      </w:pPr>
      <w:r w:rsidRPr="001E03D8">
        <w:rPr>
          <w:rFonts w:asciiTheme="minorHAnsi" w:eastAsia="Times New Roman" w:hAnsiTheme="minorHAnsi" w:cs="Century Gothic"/>
          <w:b/>
          <w:bCs/>
          <w:kern w:val="28"/>
          <w:sz w:val="16"/>
          <w:szCs w:val="16"/>
          <w:u w:val="single"/>
        </w:rPr>
        <w:t>Eligible Participants and Timing:</w:t>
      </w:r>
    </w:p>
    <w:p w14:paraId="28F5701E" w14:textId="305540D0" w:rsidR="00C82559" w:rsidRPr="001E03D8" w:rsidRDefault="00A32A56" w:rsidP="00C82559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This program is eligible for a licensed independent Amana Heating and Air Conditioning Brand Dealers in the U.S. and Canada.</w:t>
      </w:r>
      <w:r w:rsidR="00C82559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  </w:t>
      </w:r>
    </w:p>
    <w:p w14:paraId="6ADB06C9" w14:textId="799ABBD2" w:rsidR="00C82559" w:rsidRPr="001E03D8" w:rsidRDefault="00A32A56" w:rsidP="00C8255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6"/>
          <w:szCs w:val="16"/>
        </w:rPr>
      </w:pPr>
      <w:r w:rsidRPr="001E03D8">
        <w:rPr>
          <w:rFonts w:asciiTheme="minorHAnsi" w:hAnsiTheme="minorHAnsi" w:cs="Century Gothic"/>
          <w:sz w:val="16"/>
          <w:szCs w:val="16"/>
        </w:rPr>
        <w:t xml:space="preserve">U.S. or Canadian </w:t>
      </w:r>
      <w:r w:rsidR="00C82559" w:rsidRPr="001E03D8">
        <w:rPr>
          <w:rFonts w:asciiTheme="minorHAnsi" w:hAnsiTheme="minorHAnsi" w:cs="Century Gothic"/>
          <w:sz w:val="16"/>
          <w:szCs w:val="16"/>
        </w:rPr>
        <w:t xml:space="preserve">Homeowner must purchase equipment between </w:t>
      </w:r>
      <w:r w:rsidR="00C82559" w:rsidRPr="001E03D8">
        <w:rPr>
          <w:rFonts w:asciiTheme="minorHAnsi" w:hAnsiTheme="minorHAnsi" w:cs="Century Gothic"/>
          <w:b/>
          <w:sz w:val="16"/>
          <w:szCs w:val="16"/>
        </w:rPr>
        <w:t xml:space="preserve">January 1, 2023 and </w:t>
      </w:r>
      <w:r w:rsidR="001E03D8" w:rsidRPr="001E03D8">
        <w:rPr>
          <w:rFonts w:asciiTheme="minorHAnsi" w:hAnsiTheme="minorHAnsi" w:cs="Century Gothic"/>
          <w:b/>
          <w:sz w:val="16"/>
          <w:szCs w:val="16"/>
        </w:rPr>
        <w:t>June 30</w:t>
      </w:r>
      <w:r w:rsidR="00C82559" w:rsidRPr="001E03D8">
        <w:rPr>
          <w:rFonts w:asciiTheme="minorHAnsi" w:hAnsiTheme="minorHAnsi" w:cs="Century Gothic"/>
          <w:b/>
          <w:sz w:val="16"/>
          <w:szCs w:val="16"/>
        </w:rPr>
        <w:t>, 2023.</w:t>
      </w:r>
    </w:p>
    <w:p w14:paraId="6FA04FB1" w14:textId="4D234CAE" w:rsidR="00C82559" w:rsidRPr="001E03D8" w:rsidRDefault="00A32A56" w:rsidP="00C8255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6"/>
          <w:szCs w:val="16"/>
        </w:rPr>
      </w:pPr>
      <w:r w:rsidRPr="001E03D8">
        <w:rPr>
          <w:rFonts w:asciiTheme="minorHAnsi" w:hAnsiTheme="minorHAnsi" w:cs="Century Gothic"/>
          <w:sz w:val="16"/>
          <w:szCs w:val="16"/>
        </w:rPr>
        <w:t xml:space="preserve">Licensed independent dealer must install qualifying equipment </w:t>
      </w:r>
      <w:r w:rsidR="00C82559" w:rsidRPr="001E03D8">
        <w:rPr>
          <w:rFonts w:asciiTheme="minorHAnsi" w:hAnsiTheme="minorHAnsi" w:cs="Century Gothic"/>
          <w:sz w:val="16"/>
          <w:szCs w:val="16"/>
        </w:rPr>
        <w:t xml:space="preserve">between </w:t>
      </w:r>
      <w:r w:rsidR="00C82559" w:rsidRPr="001E03D8">
        <w:rPr>
          <w:rFonts w:asciiTheme="minorHAnsi" w:hAnsiTheme="minorHAnsi" w:cs="Century Gothic"/>
          <w:b/>
          <w:sz w:val="16"/>
          <w:szCs w:val="16"/>
        </w:rPr>
        <w:t xml:space="preserve">January 1, 2023 and </w:t>
      </w:r>
      <w:r w:rsidR="001E03D8" w:rsidRPr="001E03D8">
        <w:rPr>
          <w:rFonts w:asciiTheme="minorHAnsi" w:hAnsiTheme="minorHAnsi" w:cs="Century Gothic"/>
          <w:b/>
          <w:sz w:val="16"/>
          <w:szCs w:val="16"/>
        </w:rPr>
        <w:t>July</w:t>
      </w:r>
      <w:r w:rsidR="00C82559" w:rsidRPr="001E03D8">
        <w:rPr>
          <w:rFonts w:asciiTheme="minorHAnsi" w:hAnsiTheme="minorHAnsi" w:cs="Century Gothic"/>
          <w:b/>
          <w:sz w:val="16"/>
          <w:szCs w:val="16"/>
        </w:rPr>
        <w:t xml:space="preserve"> 15, 2023.</w:t>
      </w:r>
    </w:p>
    <w:p w14:paraId="741E311C" w14:textId="6C269781" w:rsidR="00C82559" w:rsidRPr="001E03D8" w:rsidRDefault="00C82559" w:rsidP="00C8255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All consumer rebate claims </w:t>
      </w:r>
      <w:r w:rsidRPr="001E03D8">
        <w:rPr>
          <w:rFonts w:asciiTheme="minorHAnsi" w:eastAsia="Times New Roman" w:hAnsiTheme="minorHAnsi" w:cs="Century Gothic"/>
          <w:b/>
          <w:kern w:val="28"/>
          <w:sz w:val="16"/>
          <w:szCs w:val="16"/>
        </w:rPr>
        <w:t xml:space="preserve">must be submitted by </w:t>
      </w:r>
      <w:r w:rsidR="001E03D8" w:rsidRPr="001E03D8">
        <w:rPr>
          <w:rFonts w:asciiTheme="minorHAnsi" w:eastAsia="Times New Roman" w:hAnsiTheme="minorHAnsi" w:cs="Century Gothic"/>
          <w:b/>
          <w:kern w:val="28"/>
          <w:sz w:val="16"/>
          <w:szCs w:val="16"/>
        </w:rPr>
        <w:t>July</w:t>
      </w:r>
      <w:r w:rsidRPr="001E03D8">
        <w:rPr>
          <w:rFonts w:asciiTheme="minorHAnsi" w:eastAsia="Times New Roman" w:hAnsiTheme="minorHAnsi" w:cs="Century Gothic"/>
          <w:b/>
          <w:kern w:val="28"/>
          <w:sz w:val="16"/>
          <w:szCs w:val="16"/>
        </w:rPr>
        <w:t xml:space="preserve"> 15, 2023</w:t>
      </w: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.</w:t>
      </w:r>
    </w:p>
    <w:p w14:paraId="454EEA18" w14:textId="54C77590" w:rsidR="00C82559" w:rsidRPr="001E03D8" w:rsidRDefault="00C82559" w:rsidP="00C82559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Theme="minorHAnsi" w:eastAsia="Times New Roman" w:hAnsiTheme="minorHAnsi" w:cs="Century Gothic"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</w:t>
      </w:r>
      <w:r w:rsidR="001E03D8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Amana Brand Heating and Air Conditioning</w:t>
      </w: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’s discretion. </w:t>
      </w:r>
    </w:p>
    <w:p w14:paraId="7F777C59" w14:textId="77777777" w:rsidR="00C82559" w:rsidRPr="001E03D8" w:rsidRDefault="00C82559" w:rsidP="00C8255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</w:pPr>
      <w:r w:rsidRPr="001E03D8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>Dealer cannot claim both Financing Buy Down and Instant Rebate on the same installation. Dealer may claim one or the other.</w:t>
      </w:r>
    </w:p>
    <w:p w14:paraId="25EA562C" w14:textId="77777777" w:rsidR="00C82559" w:rsidRPr="001E03D8" w:rsidRDefault="00C82559" w:rsidP="00C825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</w:pPr>
    </w:p>
    <w:p w14:paraId="29F8A8EF" w14:textId="110181ED" w:rsidR="00C82559" w:rsidRPr="001E03D8" w:rsidRDefault="00C82559" w:rsidP="00C825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</w:pPr>
      <w:r w:rsidRPr="001E03D8"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  <w:t xml:space="preserve">Qualifying </w:t>
      </w:r>
      <w:r w:rsidR="0064713B" w:rsidRPr="001E03D8"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  <w:t>Amana</w:t>
      </w:r>
      <w:r w:rsidRPr="001E03D8"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  <w:t xml:space="preserve"> Equipment***</w:t>
      </w:r>
    </w:p>
    <w:p w14:paraId="6D917CA8" w14:textId="77777777" w:rsidR="00C82559" w:rsidRPr="001E03D8" w:rsidRDefault="00C82559" w:rsidP="00C8255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</w:pP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See Consumer Rebate Matrix for full details.  </w:t>
      </w:r>
    </w:p>
    <w:p w14:paraId="5A35C0A4" w14:textId="10758B7F" w:rsidR="00A32A56" w:rsidRPr="001E03D8" w:rsidRDefault="00C82559" w:rsidP="00A32A5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</w:pP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A system includes a qualified </w:t>
      </w:r>
      <w:r w:rsidR="00A32A56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Amana</w:t>
      </w: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 outdoor unit listed above &amp; a</w:t>
      </w:r>
      <w:r w:rsidR="00A32A56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n Amana</w:t>
      </w: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 or corporate indoor unit.  </w:t>
      </w:r>
    </w:p>
    <w:p w14:paraId="08753A64" w14:textId="77777777" w:rsidR="006D669A" w:rsidRPr="006D669A" w:rsidRDefault="006D669A" w:rsidP="006D66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705"/>
        <w:gridCol w:w="1620"/>
        <w:gridCol w:w="2250"/>
        <w:gridCol w:w="3870"/>
        <w:gridCol w:w="1594"/>
      </w:tblGrid>
      <w:tr w:rsidR="00A32A56" w:rsidRPr="00EE1571" w14:paraId="4810DC77" w14:textId="77777777" w:rsidTr="0064713B">
        <w:trPr>
          <w:trHeight w:val="318"/>
          <w:jc w:val="center"/>
        </w:trPr>
        <w:tc>
          <w:tcPr>
            <w:tcW w:w="11039" w:type="dxa"/>
            <w:gridSpan w:val="5"/>
            <w:shd w:val="clear" w:color="auto" w:fill="C00000"/>
            <w:vAlign w:val="center"/>
          </w:tcPr>
          <w:p w14:paraId="680C0F84" w14:textId="77777777" w:rsidR="006D669A" w:rsidRPr="006D669A" w:rsidRDefault="006D669A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32"/>
                <w:szCs w:val="32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32"/>
                <w:szCs w:val="32"/>
              </w:rPr>
              <w:t>Amana</w:t>
            </w:r>
            <w:r w:rsidR="00A32A56" w:rsidRPr="006D669A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32"/>
                <w:szCs w:val="32"/>
              </w:rPr>
              <w:t xml:space="preserve"> Consumer Rebate Matrix</w:t>
            </w:r>
          </w:p>
          <w:p w14:paraId="5B2C283F" w14:textId="4916CC52" w:rsidR="00A32A56" w:rsidRPr="0064713B" w:rsidRDefault="00A32A56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4"/>
                <w:szCs w:val="24"/>
              </w:rPr>
            </w:pPr>
            <w:r w:rsidRPr="0064713B">
              <w:rPr>
                <w:rFonts w:asciiTheme="minorHAnsi" w:eastAsia="Times New Roman" w:hAnsiTheme="minorHAnsi" w:cs="Century Gothic"/>
                <w:b/>
                <w:bCs/>
                <w:color w:val="FFFF00"/>
                <w:kern w:val="28"/>
                <w:sz w:val="24"/>
                <w:szCs w:val="24"/>
              </w:rPr>
              <w:t>U.S</w:t>
            </w:r>
            <w:r w:rsidR="006D669A" w:rsidRPr="0064713B">
              <w:rPr>
                <w:rFonts w:asciiTheme="minorHAnsi" w:eastAsia="Times New Roman" w:hAnsiTheme="minorHAnsi" w:cs="Century Gothic"/>
                <w:b/>
                <w:bCs/>
                <w:color w:val="FFFF00"/>
                <w:kern w:val="28"/>
                <w:sz w:val="24"/>
                <w:szCs w:val="24"/>
              </w:rPr>
              <w:t>. Instant Rebate (USD); Canada Instant Rebate (CAD)</w:t>
            </w:r>
          </w:p>
        </w:tc>
      </w:tr>
      <w:tr w:rsidR="00A32A56" w:rsidRPr="009F3280" w14:paraId="13DD305D" w14:textId="77777777" w:rsidTr="006D669A">
        <w:trPr>
          <w:trHeight w:val="296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49E6AA6E" w14:textId="77777777" w:rsidR="00A32A56" w:rsidRPr="006D669A" w:rsidRDefault="00A32A56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12518B3" w14:textId="77777777" w:rsidR="00A32A56" w:rsidRPr="006D669A" w:rsidRDefault="00A32A56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77316397" w14:textId="77777777" w:rsidR="00A32A56" w:rsidRPr="006D669A" w:rsidRDefault="00A32A56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3CC68C85" w14:textId="77777777" w:rsidR="00A32A56" w:rsidRPr="006D669A" w:rsidRDefault="00A32A56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594" w:type="dxa"/>
            <w:shd w:val="clear" w:color="auto" w:fill="BFBFBF" w:themeFill="background1" w:themeFillShade="BF"/>
            <w:vAlign w:val="center"/>
          </w:tcPr>
          <w:p w14:paraId="28099D1D" w14:textId="77777777" w:rsidR="00A32A56" w:rsidRPr="006D669A" w:rsidRDefault="00A32A56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A32A56" w:rsidRPr="009F3280" w14:paraId="5D4E2784" w14:textId="77777777" w:rsidTr="006D669A">
        <w:trPr>
          <w:trHeight w:val="53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2482D11" w14:textId="1398674C" w:rsidR="006D669A" w:rsidRPr="006D669A" w:rsidRDefault="006D669A" w:rsidP="006D669A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  <w:t>$</w:t>
            </w: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  <w:t>900</w:t>
            </w:r>
            <w:r w:rsidRPr="006D669A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  <w:t xml:space="preserve"> &amp; </w:t>
            </w:r>
          </w:p>
          <w:p w14:paraId="1B3056AC" w14:textId="4D6CFCAF" w:rsidR="00A32A56" w:rsidRPr="006D669A" w:rsidRDefault="006D669A" w:rsidP="006D669A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  <w:t xml:space="preserve">1 </w:t>
            </w: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  <w:t>Amana Smart Thermostat*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79BCD5" w14:textId="21FEA4D5" w:rsidR="00A32A56" w:rsidRPr="006D669A" w:rsidRDefault="006D669A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  <w:t>Amana S Series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4E01A2" w14:textId="5856D60F" w:rsidR="00A32A56" w:rsidRPr="006D669A" w:rsidRDefault="006D669A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</w:pPr>
            <w:r w:rsidRPr="006D669A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  <w:t>ASXS6S / ASZS6S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8A17DEB" w14:textId="410648A9" w:rsidR="00A32A56" w:rsidRPr="006D669A" w:rsidRDefault="00A32A56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36686096" w14:textId="6872A4C1" w:rsidR="00A32A56" w:rsidRPr="006D669A" w:rsidRDefault="006D669A" w:rsidP="005A589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20"/>
                <w:szCs w:val="20"/>
              </w:rPr>
              <w:t>Amana Smart Thermostat</w:t>
            </w:r>
          </w:p>
        </w:tc>
      </w:tr>
    </w:tbl>
    <w:p w14:paraId="42229C83" w14:textId="77777777" w:rsidR="001E03D8" w:rsidRPr="001E03D8" w:rsidRDefault="001E03D8" w:rsidP="006471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Century Gothic"/>
          <w:b/>
          <w:bCs/>
          <w:i/>
          <w:iCs/>
          <w:kern w:val="28"/>
          <w:sz w:val="8"/>
          <w:szCs w:val="8"/>
          <w:highlight w:val="yellow"/>
        </w:rPr>
      </w:pPr>
    </w:p>
    <w:p w14:paraId="17E12699" w14:textId="7D2651F2" w:rsidR="00C82559" w:rsidRPr="0064713B" w:rsidRDefault="006D669A" w:rsidP="006471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</w:rPr>
      </w:pPr>
      <w:r w:rsidRPr="0064713B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 xml:space="preserve">*COD Branches should flag the Amana Smart Thermostat as “No Charge” in Mincron and use PCG7097; Independent Distributors will claim the rebate by reporting qualifying sales of </w:t>
      </w:r>
      <w:r w:rsidR="0064713B" w:rsidRPr="0064713B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 xml:space="preserve">Amana </w:t>
      </w:r>
      <w:r w:rsidRPr="0064713B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>equipment using</w:t>
      </w:r>
      <w:r w:rsidR="0064713B" w:rsidRPr="0064713B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 xml:space="preserve"> PCG7097</w:t>
      </w:r>
      <w:r w:rsidRPr="0064713B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 xml:space="preserve">, which will be paid as part of the monthly Rebates Automation statement. Distributors only need to report the equipment sold with the </w:t>
      </w:r>
      <w:r w:rsidR="0064713B" w:rsidRPr="0064713B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>Amana Smart Thermostat</w:t>
      </w:r>
      <w:r w:rsidRPr="0064713B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 xml:space="preserve"> ($</w:t>
      </w:r>
      <w:r w:rsidR="0064713B" w:rsidRPr="0064713B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>324</w:t>
      </w:r>
      <w:r w:rsidRPr="0064713B">
        <w:rPr>
          <w:rFonts w:asciiTheme="minorHAnsi" w:eastAsia="Times New Roman" w:hAnsiTheme="minorHAnsi" w:cs="Century Gothic"/>
          <w:b/>
          <w:bCs/>
          <w:i/>
          <w:iCs/>
          <w:kern w:val="28"/>
          <w:sz w:val="16"/>
          <w:szCs w:val="16"/>
          <w:highlight w:val="yellow"/>
        </w:rPr>
        <w:t xml:space="preserve"> reimbursed).</w:t>
      </w:r>
    </w:p>
    <w:p w14:paraId="5EAC1BAA" w14:textId="77777777" w:rsidR="006D669A" w:rsidRPr="001E03D8" w:rsidRDefault="006D669A" w:rsidP="00C825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</w:pPr>
    </w:p>
    <w:p w14:paraId="33927803" w14:textId="034444A2" w:rsidR="00C82559" w:rsidRPr="001E03D8" w:rsidRDefault="006D669A" w:rsidP="00C825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</w:pPr>
      <w:r w:rsidRPr="001E03D8"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  <w:t>Eligible Amana Brand Dealer</w:t>
      </w:r>
      <w:r w:rsidR="00C82559" w:rsidRPr="001E03D8">
        <w:rPr>
          <w:rFonts w:asciiTheme="minorHAnsi" w:eastAsia="Times New Roman" w:hAnsiTheme="minorHAnsi" w:cs="Century Gothic"/>
          <w:b/>
          <w:kern w:val="28"/>
          <w:sz w:val="16"/>
          <w:szCs w:val="16"/>
          <w:u w:val="single"/>
        </w:rPr>
        <w:t xml:space="preserve"> Responsibilities for Consumer Instant Rebate</w:t>
      </w:r>
    </w:p>
    <w:p w14:paraId="1512E4AB" w14:textId="01F4AF43" w:rsidR="00C82559" w:rsidRPr="001E03D8" w:rsidRDefault="006D669A" w:rsidP="00C8255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Eligible </w:t>
      </w:r>
      <w:r w:rsidR="00A32A56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Amana Brand Dealer </w:t>
      </w:r>
      <w:r w:rsidR="00C82559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is responsible for 50% of each consumer instant rebate amount</w:t>
      </w:r>
      <w:r w:rsidR="00C82559" w:rsidRPr="001E03D8">
        <w:rPr>
          <w:rFonts w:asciiTheme="minorHAnsi" w:eastAsia="Times New Roman" w:hAnsiTheme="minorHAnsi" w:cs="Century Gothic"/>
          <w:i/>
          <w:kern w:val="28"/>
          <w:sz w:val="16"/>
          <w:szCs w:val="16"/>
        </w:rPr>
        <w:t xml:space="preserve"> but</w:t>
      </w:r>
      <w:r w:rsidR="00C82559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 will need to provide the full rebate to the homeowner at time of purchase.  </w:t>
      </w:r>
      <w:r w:rsidR="00A32A56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Eligible dealer </w:t>
      </w:r>
      <w:r w:rsidR="00C82559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will claim back 50% of the total rebate from </w:t>
      </w:r>
      <w:r w:rsidR="001E03D8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Amana Brand Heating and Air Conditioning</w:t>
      </w:r>
      <w:r w:rsidR="001E03D8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 </w:t>
      </w:r>
      <w:r w:rsidR="00C82559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post sale.</w:t>
      </w:r>
    </w:p>
    <w:p w14:paraId="10DB4097" w14:textId="3C5133C6" w:rsidR="00C82559" w:rsidRPr="001E03D8" w:rsidRDefault="00C82559" w:rsidP="00C82559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>E.g.:  If a homeowner instant rebate is $</w:t>
      </w:r>
      <w:r w:rsidR="00A32A56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>9</w:t>
      </w: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 xml:space="preserve">00, </w:t>
      </w:r>
      <w:r w:rsidR="00A32A56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>eligible dealer</w:t>
      </w: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 xml:space="preserve"> will receive a rebate from </w:t>
      </w:r>
      <w:r w:rsidR="001E03D8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>Amana Brand Heating and Air Conditioning</w:t>
      </w: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 xml:space="preserve"> (via EGIA) for $</w:t>
      </w:r>
      <w:r w:rsidR="00A32A56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>45</w:t>
      </w: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 xml:space="preserve">0.   </w:t>
      </w:r>
    </w:p>
    <w:p w14:paraId="46498F20" w14:textId="539B9BD5" w:rsidR="00C82559" w:rsidRPr="001E03D8" w:rsidRDefault="001E03D8" w:rsidP="00C8255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Amana Brand Heating and Air Conditioning</w:t>
      </w:r>
      <w:r w:rsidR="00C82559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 agrees to reimburse the </w:t>
      </w:r>
      <w:r w:rsidR="00A32A56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eligible dealer</w:t>
      </w:r>
      <w:r w:rsidR="00C82559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, via payment from EGIA, for any claim that EGIA determines to be valid. </w:t>
      </w:r>
    </w:p>
    <w:p w14:paraId="0F048B8B" w14:textId="14B05D91" w:rsidR="00C82559" w:rsidRPr="001E03D8" w:rsidRDefault="006D669A" w:rsidP="00C8255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Eligible </w:t>
      </w:r>
      <w:r w:rsidR="00A32A56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>Amana Brand Dealer</w:t>
      </w:r>
      <w:r w:rsidR="00C82559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 may not apply any </w:t>
      </w:r>
      <w:r w:rsidR="00A32A56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Amana </w:t>
      </w:r>
      <w:r w:rsidR="00C82559" w:rsidRPr="001E03D8">
        <w:rPr>
          <w:rFonts w:asciiTheme="minorHAnsi" w:eastAsia="Times New Roman" w:hAnsiTheme="minorHAnsi" w:cs="Century Gothic"/>
          <w:kern w:val="28"/>
          <w:sz w:val="16"/>
          <w:szCs w:val="16"/>
        </w:rPr>
        <w:t xml:space="preserve">marketing accrual funds for repayment of consumer rebates.  </w:t>
      </w:r>
    </w:p>
    <w:p w14:paraId="3C6A0540" w14:textId="0A854453" w:rsidR="00C82559" w:rsidRPr="001E03D8" w:rsidRDefault="006D669A" w:rsidP="00C8255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 xml:space="preserve">Eligible </w:t>
      </w:r>
      <w:r w:rsidR="00A32A56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 xml:space="preserve">Amana Brand Dealer </w:t>
      </w:r>
      <w:r w:rsidR="00C82559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 xml:space="preserve">should </w:t>
      </w:r>
      <w:r w:rsidR="00C82559" w:rsidRPr="001E03D8">
        <w:rPr>
          <w:rFonts w:asciiTheme="minorHAnsi" w:eastAsia="Times New Roman" w:hAnsiTheme="minorHAnsi" w:cs="Century Gothic"/>
          <w:b/>
          <w:bCs/>
          <w:kern w:val="28"/>
          <w:sz w:val="16"/>
          <w:szCs w:val="16"/>
          <w:u w:val="single"/>
        </w:rPr>
        <w:t>not</w:t>
      </w:r>
      <w:r w:rsidR="00C82559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instant rebate provided. </w:t>
      </w:r>
    </w:p>
    <w:p w14:paraId="4A58331A" w14:textId="77777777" w:rsidR="00C82559" w:rsidRPr="001E03D8" w:rsidRDefault="00C82559" w:rsidP="00C82559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6"/>
          <w:szCs w:val="16"/>
          <w:u w:val="single"/>
        </w:rPr>
      </w:pPr>
    </w:p>
    <w:p w14:paraId="34AD57E5" w14:textId="77777777" w:rsidR="00C82559" w:rsidRPr="001E03D8" w:rsidRDefault="00C82559" w:rsidP="00C82559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6"/>
          <w:szCs w:val="16"/>
          <w:u w:val="single"/>
        </w:rPr>
      </w:pPr>
      <w:r w:rsidRPr="001E03D8">
        <w:rPr>
          <w:rFonts w:asciiTheme="minorHAnsi" w:eastAsia="Times New Roman" w:hAnsiTheme="minorHAnsi" w:cs="Century Gothic"/>
          <w:b/>
          <w:bCs/>
          <w:kern w:val="28"/>
          <w:sz w:val="16"/>
          <w:szCs w:val="16"/>
          <w:u w:val="single"/>
        </w:rPr>
        <w:t>Claims process</w:t>
      </w:r>
    </w:p>
    <w:p w14:paraId="37F5E491" w14:textId="282FCF7B" w:rsidR="00A32A56" w:rsidRPr="001E03D8" w:rsidRDefault="00C82559" w:rsidP="00A32A5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Dealer will file the rebate claim with EGIA, including all necessary documentation, at </w:t>
      </w:r>
      <w:r w:rsidRPr="001E03D8">
        <w:rPr>
          <w:rFonts w:asciiTheme="minorHAnsi" w:hAnsiTheme="minorHAnsi" w:cs="Century Gothic"/>
          <w:b/>
          <w:sz w:val="16"/>
          <w:szCs w:val="16"/>
        </w:rPr>
        <w:t>www.egia.org/</w:t>
      </w:r>
      <w:r w:rsidR="00A32A56" w:rsidRPr="001E03D8">
        <w:rPr>
          <w:rFonts w:asciiTheme="minorHAnsi" w:hAnsiTheme="minorHAnsi" w:cs="Century Gothic"/>
          <w:b/>
          <w:sz w:val="16"/>
          <w:szCs w:val="16"/>
        </w:rPr>
        <w:t>amana</w:t>
      </w:r>
      <w:r w:rsidRPr="001E03D8">
        <w:rPr>
          <w:rFonts w:asciiTheme="minorHAnsi" w:eastAsia="Times New Roman" w:hAnsiTheme="minorHAnsi" w:cs="Century Gothic"/>
          <w:b/>
          <w:bCs/>
          <w:kern w:val="28"/>
          <w:sz w:val="16"/>
          <w:szCs w:val="16"/>
        </w:rPr>
        <w:t>.</w:t>
      </w:r>
    </w:p>
    <w:p w14:paraId="36DED57F" w14:textId="77777777" w:rsidR="00C82559" w:rsidRPr="001E03D8" w:rsidRDefault="00C82559" w:rsidP="00C8255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All claims must be submitted online by the dealer with appropriate back-up documentation.  </w:t>
      </w:r>
    </w:p>
    <w:p w14:paraId="1DB142AE" w14:textId="61AD6FA2" w:rsidR="00C82559" w:rsidRPr="001E03D8" w:rsidRDefault="00C82559" w:rsidP="00C8255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EGIA can be contacted via phone at </w:t>
      </w:r>
      <w:r w:rsidRPr="001E03D8">
        <w:rPr>
          <w:rFonts w:asciiTheme="minorHAnsi" w:hAnsiTheme="minorHAnsi"/>
          <w:b/>
          <w:sz w:val="16"/>
          <w:szCs w:val="16"/>
        </w:rPr>
        <w:t xml:space="preserve">888-691-0387 </w:t>
      </w:r>
      <w:r w:rsidRPr="001E03D8">
        <w:rPr>
          <w:rFonts w:asciiTheme="minorHAnsi" w:hAnsiTheme="minorHAnsi"/>
          <w:sz w:val="16"/>
          <w:szCs w:val="16"/>
        </w:rPr>
        <w:t>or via email at</w:t>
      </w:r>
      <w:r w:rsidRPr="001E03D8">
        <w:rPr>
          <w:rFonts w:asciiTheme="minorHAnsi" w:hAnsiTheme="minorHAnsi"/>
          <w:b/>
          <w:sz w:val="16"/>
          <w:szCs w:val="16"/>
        </w:rPr>
        <w:t xml:space="preserve"> </w:t>
      </w:r>
      <w:hyperlink r:id="rId8" w:history="1">
        <w:r w:rsidRPr="001E03D8">
          <w:rPr>
            <w:rStyle w:val="Hyperlink"/>
            <w:rFonts w:asciiTheme="minorHAnsi" w:hAnsiTheme="minorHAnsi" w:cs="Century Gothic"/>
            <w:b/>
            <w:sz w:val="16"/>
            <w:szCs w:val="16"/>
          </w:rPr>
          <w:t>DealerRebates@egia.org</w:t>
        </w:r>
      </w:hyperlink>
      <w:r w:rsidRPr="001E03D8">
        <w:rPr>
          <w:rFonts w:asciiTheme="minorHAnsi" w:hAnsiTheme="minorHAnsi"/>
          <w:b/>
          <w:sz w:val="16"/>
          <w:szCs w:val="16"/>
        </w:rPr>
        <w:t xml:space="preserve"> </w:t>
      </w: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with questions regarding claim submission or status on </w:t>
      </w:r>
      <w:r w:rsidR="00A32A56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Amana</w:t>
      </w: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 Consumer Instant Rebates. </w:t>
      </w:r>
    </w:p>
    <w:p w14:paraId="3457C303" w14:textId="0C65C8A0" w:rsidR="00C82559" w:rsidRPr="001E03D8" w:rsidRDefault="00A32A56" w:rsidP="00C8255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Amana Brand Dealer </w:t>
      </w:r>
      <w:r w:rsidR="00C82559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must provide EGIA with </w:t>
      </w:r>
      <w:r w:rsidR="00C82559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  <w:u w:val="single"/>
        </w:rPr>
        <w:t>ONE</w:t>
      </w:r>
      <w:r w:rsidR="00C82559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 of the following for the online claim:</w:t>
      </w:r>
    </w:p>
    <w:p w14:paraId="25E10D9A" w14:textId="77777777" w:rsidR="00C82559" w:rsidRPr="001E03D8" w:rsidRDefault="00C82559" w:rsidP="00C82559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A copy of their invoice including:</w:t>
      </w:r>
    </w:p>
    <w:p w14:paraId="45D399AC" w14:textId="77777777" w:rsidR="00C82559" w:rsidRPr="001E03D8" w:rsidRDefault="00C82559" w:rsidP="00C82559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Invoice number</w:t>
      </w:r>
    </w:p>
    <w:p w14:paraId="61BB3552" w14:textId="77777777" w:rsidR="00C82559" w:rsidRPr="001E03D8" w:rsidRDefault="00C82559" w:rsidP="00C82559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Serial and model numbers for all equipment purchased</w:t>
      </w:r>
    </w:p>
    <w:p w14:paraId="65F982D2" w14:textId="77777777" w:rsidR="00C82559" w:rsidRPr="001E03D8" w:rsidRDefault="00C82559" w:rsidP="00C82559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Homeowner name and address</w:t>
      </w:r>
    </w:p>
    <w:p w14:paraId="301CB20B" w14:textId="77777777" w:rsidR="00C82559" w:rsidRPr="001E03D8" w:rsidRDefault="00C82559" w:rsidP="00C82559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Date of installation</w:t>
      </w:r>
    </w:p>
    <w:p w14:paraId="57E71E38" w14:textId="77777777" w:rsidR="00C82559" w:rsidRPr="001E03D8" w:rsidRDefault="00C82559" w:rsidP="00C82559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Rebate given to homeowner</w:t>
      </w:r>
    </w:p>
    <w:p w14:paraId="587F3C75" w14:textId="50C3E0D2" w:rsidR="00C82559" w:rsidRPr="001E03D8" w:rsidRDefault="00A32A56" w:rsidP="00C82559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Amana Heating and Air Conditioning Brand Dealer </w:t>
      </w:r>
      <w:r w:rsidR="00C82559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name and dealer number (local distributor number)</w:t>
      </w:r>
    </w:p>
    <w:p w14:paraId="243F46D9" w14:textId="53286D2A" w:rsidR="00C82559" w:rsidRPr="001E03D8" w:rsidRDefault="00C82559" w:rsidP="00C82559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A copy of the </w:t>
      </w:r>
      <w:r w:rsidR="0064713B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Amana</w:t>
      </w: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 product registration confirmation </w:t>
      </w:r>
    </w:p>
    <w:p w14:paraId="2A8DAD5A" w14:textId="17330911" w:rsidR="00C82559" w:rsidRPr="001E03D8" w:rsidRDefault="00C82559" w:rsidP="00C8255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If homeowner invoice does not include equipment serial numbers, </w:t>
      </w:r>
      <w:r w:rsidR="0064713B"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 xml:space="preserve">the eligible Amana Brand Dealer </w:t>
      </w: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must provide a copy of warranty registration number with serial numbers.</w:t>
      </w:r>
    </w:p>
    <w:p w14:paraId="18402A38" w14:textId="77777777" w:rsidR="00C82559" w:rsidRPr="001E03D8" w:rsidRDefault="00C82559" w:rsidP="00C82559">
      <w:pPr>
        <w:numPr>
          <w:ilvl w:val="0"/>
          <w:numId w:val="14"/>
        </w:numPr>
        <w:rPr>
          <w:rFonts w:asciiTheme="minorHAnsi" w:eastAsia="Times New Roman" w:hAnsiTheme="minorHAnsi" w:cs="Century Gothic"/>
          <w:bCs/>
          <w:kern w:val="28"/>
          <w:sz w:val="16"/>
          <w:szCs w:val="16"/>
        </w:rPr>
      </w:pPr>
      <w:r w:rsidRPr="001E03D8">
        <w:rPr>
          <w:rFonts w:asciiTheme="minorHAnsi" w:eastAsia="Times New Roman" w:hAnsiTheme="minorHAnsi" w:cs="Century Gothic"/>
          <w:bCs/>
          <w:kern w:val="28"/>
          <w:sz w:val="16"/>
          <w:szCs w:val="16"/>
        </w:rPr>
        <w:t>Allow 4-6 weeks for rebate processing and receipt of rebate check.</w:t>
      </w:r>
    </w:p>
    <w:p w14:paraId="53611B04" w14:textId="70A0559F" w:rsidR="00C82559" w:rsidRDefault="00C82559" w:rsidP="00C825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  <w:r w:rsidRPr="00EE1571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</w:t>
      </w:r>
    </w:p>
    <w:sectPr w:rsidR="00C82559" w:rsidSect="00FC4B67">
      <w:headerReference w:type="default" r:id="rId9"/>
      <w:footerReference w:type="default" r:id="rId10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9E35" w14:textId="77777777" w:rsidR="00EA299B" w:rsidRDefault="00EA299B" w:rsidP="009A1DD2">
      <w:pPr>
        <w:spacing w:after="0" w:line="240" w:lineRule="auto"/>
      </w:pPr>
      <w:r>
        <w:separator/>
      </w:r>
    </w:p>
  </w:endnote>
  <w:endnote w:type="continuationSeparator" w:id="0">
    <w:p w14:paraId="0F9341CC" w14:textId="77777777" w:rsidR="00EA299B" w:rsidRDefault="00EA299B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FDCC" w14:textId="77777777" w:rsidR="00074D9A" w:rsidRPr="00192ABD" w:rsidRDefault="00074D9A" w:rsidP="00074D9A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>Amana</w:t>
    </w:r>
    <w:r w:rsidRPr="00192ABD">
      <w:rPr>
        <w:rFonts w:ascii="Trebuchet MS" w:hAnsi="Trebuchet MS"/>
        <w:sz w:val="16"/>
        <w:szCs w:val="16"/>
        <w:vertAlign w:val="superscript"/>
      </w:rPr>
      <w:sym w:font="Symbol" w:char="F0D2"/>
    </w:r>
    <w:r w:rsidRPr="00192ABD">
      <w:rPr>
        <w:rFonts w:ascii="Trebuchet MS" w:hAnsi="Trebuchet MS"/>
        <w:sz w:val="16"/>
        <w:szCs w:val="16"/>
      </w:rPr>
      <w:t xml:space="preserve"> is a registered trademark of </w:t>
    </w:r>
    <w:r>
      <w:rPr>
        <w:rFonts w:ascii="Trebuchet MS" w:hAnsi="Trebuchet MS"/>
        <w:sz w:val="16"/>
        <w:szCs w:val="16"/>
      </w:rPr>
      <w:t>May</w:t>
    </w:r>
    <w:r w:rsidRPr="00192ABD">
      <w:rPr>
        <w:rFonts w:ascii="Trebuchet MS" w:hAnsi="Trebuchet MS"/>
        <w:sz w:val="16"/>
        <w:szCs w:val="16"/>
      </w:rPr>
      <w:t>tag Corporation or its related companies and is used under license to</w:t>
    </w:r>
  </w:p>
  <w:p w14:paraId="2ECC84C1" w14:textId="64E3AB46" w:rsidR="00074D9A" w:rsidRPr="00074D9A" w:rsidRDefault="00074D9A" w:rsidP="00074D9A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 xml:space="preserve"> </w:t>
    </w:r>
    <w:r w:rsidR="001E03D8" w:rsidRPr="001E03D8">
      <w:rPr>
        <w:rFonts w:ascii="Trebuchet MS" w:hAnsi="Trebuchet MS"/>
        <w:sz w:val="16"/>
        <w:szCs w:val="16"/>
      </w:rPr>
      <w:t>DAIKIN COMFORT TECHNOLOGIES NORTH AMERICA, INC.</w:t>
    </w:r>
    <w:r w:rsidR="001E03D8">
      <w:rPr>
        <w:rFonts w:ascii="Trebuchet MS" w:hAnsi="Trebuchet MS"/>
        <w:sz w:val="16"/>
        <w:szCs w:val="16"/>
      </w:rPr>
      <w:t xml:space="preserve">, </w:t>
    </w:r>
    <w:r w:rsidRPr="00192ABD">
      <w:rPr>
        <w:rFonts w:ascii="Trebuchet MS" w:hAnsi="Trebuchet MS"/>
        <w:sz w:val="16"/>
        <w:szCs w:val="16"/>
      </w:rPr>
      <w:t>Houston, TX.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FCEA" w14:textId="77777777" w:rsidR="00EA299B" w:rsidRDefault="00EA299B" w:rsidP="009A1DD2">
      <w:pPr>
        <w:spacing w:after="0" w:line="240" w:lineRule="auto"/>
      </w:pPr>
      <w:r>
        <w:separator/>
      </w:r>
    </w:p>
  </w:footnote>
  <w:footnote w:type="continuationSeparator" w:id="0">
    <w:p w14:paraId="28A97BE5" w14:textId="77777777" w:rsidR="00EA299B" w:rsidRDefault="00EA299B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22CD" w14:textId="387E85DB" w:rsidR="008B7D87" w:rsidRPr="008157DD" w:rsidRDefault="00A83309" w:rsidP="008B7D87">
    <w:pPr>
      <w:pStyle w:val="Header"/>
      <w:spacing w:after="0"/>
      <w:rPr>
        <w:b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480799" wp14:editId="73587BB4">
          <wp:simplePos x="0" y="0"/>
          <wp:positionH relativeFrom="margin">
            <wp:posOffset>127635</wp:posOffset>
          </wp:positionH>
          <wp:positionV relativeFrom="margin">
            <wp:posOffset>-648970</wp:posOffset>
          </wp:positionV>
          <wp:extent cx="1704975" cy="436880"/>
          <wp:effectExtent l="0" t="0" r="9525" b="1270"/>
          <wp:wrapSquare wrapText="bothSides"/>
          <wp:docPr id="1" name="Picture 1" descr="Amana logo_186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ana logo_186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7DD">
      <w:tab/>
    </w:r>
    <w:r w:rsidR="008157DD">
      <w:tab/>
    </w:r>
    <w:r w:rsidR="00E06789">
      <w:t xml:space="preserve">    </w:t>
    </w:r>
    <w:r w:rsidR="00B9474A">
      <w:rPr>
        <w:b/>
        <w:i/>
        <w:sz w:val="24"/>
        <w:szCs w:val="24"/>
      </w:rPr>
      <w:t>January</w:t>
    </w:r>
    <w:r w:rsidR="00CE43BF">
      <w:rPr>
        <w:b/>
        <w:i/>
        <w:sz w:val="24"/>
        <w:szCs w:val="24"/>
      </w:rPr>
      <w:t xml:space="preserve"> </w:t>
    </w:r>
    <w:r w:rsidR="004856DA">
      <w:rPr>
        <w:b/>
        <w:i/>
        <w:sz w:val="24"/>
        <w:szCs w:val="24"/>
      </w:rPr>
      <w:t xml:space="preserve">1, </w:t>
    </w:r>
    <w:r w:rsidR="00A8782D">
      <w:rPr>
        <w:b/>
        <w:i/>
        <w:sz w:val="24"/>
        <w:szCs w:val="24"/>
      </w:rPr>
      <w:t>202</w:t>
    </w:r>
    <w:r w:rsidR="006D669A">
      <w:rPr>
        <w:b/>
        <w:i/>
        <w:sz w:val="24"/>
        <w:szCs w:val="24"/>
      </w:rPr>
      <w:t>3</w:t>
    </w:r>
    <w:r w:rsidR="00070181">
      <w:rPr>
        <w:b/>
        <w:i/>
        <w:sz w:val="24"/>
        <w:szCs w:val="24"/>
      </w:rPr>
      <w:t xml:space="preserve"> </w:t>
    </w:r>
    <w:r w:rsidR="00B55831">
      <w:rPr>
        <w:b/>
        <w:i/>
        <w:sz w:val="24"/>
        <w:szCs w:val="24"/>
      </w:rPr>
      <w:t>–</w:t>
    </w:r>
    <w:r w:rsidR="009D5934">
      <w:rPr>
        <w:b/>
        <w:i/>
        <w:sz w:val="24"/>
        <w:szCs w:val="24"/>
      </w:rPr>
      <w:t xml:space="preserve"> U.S. &amp; Canada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3994"/>
    <w:multiLevelType w:val="multilevel"/>
    <w:tmpl w:val="4110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423E"/>
    <w:multiLevelType w:val="hybridMultilevel"/>
    <w:tmpl w:val="EC66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B2B3B"/>
    <w:multiLevelType w:val="hybridMultilevel"/>
    <w:tmpl w:val="510EF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51CFF"/>
    <w:multiLevelType w:val="hybridMultilevel"/>
    <w:tmpl w:val="510EF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A0225"/>
    <w:multiLevelType w:val="hybridMultilevel"/>
    <w:tmpl w:val="EE2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42AF5"/>
    <w:multiLevelType w:val="hybridMultilevel"/>
    <w:tmpl w:val="530443A8"/>
    <w:lvl w:ilvl="0" w:tplc="1B28556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4301">
    <w:abstractNumId w:val="15"/>
  </w:num>
  <w:num w:numId="2" w16cid:durableId="2116244014">
    <w:abstractNumId w:val="16"/>
  </w:num>
  <w:num w:numId="3" w16cid:durableId="825365053">
    <w:abstractNumId w:val="15"/>
  </w:num>
  <w:num w:numId="4" w16cid:durableId="634602367">
    <w:abstractNumId w:val="7"/>
  </w:num>
  <w:num w:numId="5" w16cid:durableId="1133714363">
    <w:abstractNumId w:val="17"/>
  </w:num>
  <w:num w:numId="6" w16cid:durableId="1997804937">
    <w:abstractNumId w:val="6"/>
  </w:num>
  <w:num w:numId="7" w16cid:durableId="91085157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 w16cid:durableId="1705667225">
    <w:abstractNumId w:val="1"/>
  </w:num>
  <w:num w:numId="9" w16cid:durableId="787508271">
    <w:abstractNumId w:val="10"/>
  </w:num>
  <w:num w:numId="10" w16cid:durableId="1061295702">
    <w:abstractNumId w:val="3"/>
  </w:num>
  <w:num w:numId="11" w16cid:durableId="1867595850">
    <w:abstractNumId w:val="1"/>
  </w:num>
  <w:num w:numId="12" w16cid:durableId="812909437">
    <w:abstractNumId w:val="11"/>
  </w:num>
  <w:num w:numId="13" w16cid:durableId="952440063">
    <w:abstractNumId w:val="2"/>
  </w:num>
  <w:num w:numId="14" w16cid:durableId="80958581">
    <w:abstractNumId w:val="8"/>
  </w:num>
  <w:num w:numId="15" w16cid:durableId="406926273">
    <w:abstractNumId w:val="5"/>
  </w:num>
  <w:num w:numId="16" w16cid:durableId="1220898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2880296">
    <w:abstractNumId w:val="7"/>
  </w:num>
  <w:num w:numId="18" w16cid:durableId="329454094">
    <w:abstractNumId w:val="12"/>
  </w:num>
  <w:num w:numId="19" w16cid:durableId="1275139970">
    <w:abstractNumId w:val="13"/>
  </w:num>
  <w:num w:numId="20" w16cid:durableId="1904945408">
    <w:abstractNumId w:val="9"/>
  </w:num>
  <w:num w:numId="21" w16cid:durableId="1167020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7FA4"/>
    <w:rsid w:val="00015869"/>
    <w:rsid w:val="0001629C"/>
    <w:rsid w:val="00017F79"/>
    <w:rsid w:val="000250C3"/>
    <w:rsid w:val="0003057C"/>
    <w:rsid w:val="000429E5"/>
    <w:rsid w:val="000521C3"/>
    <w:rsid w:val="00062258"/>
    <w:rsid w:val="00063058"/>
    <w:rsid w:val="00070181"/>
    <w:rsid w:val="00074D9A"/>
    <w:rsid w:val="00076FF9"/>
    <w:rsid w:val="00086EC6"/>
    <w:rsid w:val="000A6A7C"/>
    <w:rsid w:val="000B02D4"/>
    <w:rsid w:val="000B0A5B"/>
    <w:rsid w:val="000E3389"/>
    <w:rsid w:val="000E5E68"/>
    <w:rsid w:val="000E7AD8"/>
    <w:rsid w:val="000F2A89"/>
    <w:rsid w:val="00100F59"/>
    <w:rsid w:val="001112CD"/>
    <w:rsid w:val="001167AE"/>
    <w:rsid w:val="00124C4C"/>
    <w:rsid w:val="00126EA7"/>
    <w:rsid w:val="00132467"/>
    <w:rsid w:val="0013627F"/>
    <w:rsid w:val="0015703A"/>
    <w:rsid w:val="0015786F"/>
    <w:rsid w:val="00160019"/>
    <w:rsid w:val="0016442A"/>
    <w:rsid w:val="001646C1"/>
    <w:rsid w:val="00173C6C"/>
    <w:rsid w:val="0017644A"/>
    <w:rsid w:val="00182C7A"/>
    <w:rsid w:val="00190571"/>
    <w:rsid w:val="00196834"/>
    <w:rsid w:val="001975E2"/>
    <w:rsid w:val="001979FB"/>
    <w:rsid w:val="001A1BB1"/>
    <w:rsid w:val="001C0A8B"/>
    <w:rsid w:val="001E03D8"/>
    <w:rsid w:val="001F4DF4"/>
    <w:rsid w:val="00204214"/>
    <w:rsid w:val="00206E0F"/>
    <w:rsid w:val="00210254"/>
    <w:rsid w:val="00210F81"/>
    <w:rsid w:val="0022070A"/>
    <w:rsid w:val="00227143"/>
    <w:rsid w:val="002335B6"/>
    <w:rsid w:val="00235A9B"/>
    <w:rsid w:val="002363EB"/>
    <w:rsid w:val="00242195"/>
    <w:rsid w:val="002628AE"/>
    <w:rsid w:val="002665F4"/>
    <w:rsid w:val="00270804"/>
    <w:rsid w:val="00275B16"/>
    <w:rsid w:val="002A6F8B"/>
    <w:rsid w:val="002A7C43"/>
    <w:rsid w:val="002D1399"/>
    <w:rsid w:val="002D5F9E"/>
    <w:rsid w:val="002D6BE2"/>
    <w:rsid w:val="002D7AD4"/>
    <w:rsid w:val="002E4695"/>
    <w:rsid w:val="002E7713"/>
    <w:rsid w:val="002F177D"/>
    <w:rsid w:val="002F1F11"/>
    <w:rsid w:val="00304202"/>
    <w:rsid w:val="00304518"/>
    <w:rsid w:val="0031012A"/>
    <w:rsid w:val="00310D8E"/>
    <w:rsid w:val="00313EC9"/>
    <w:rsid w:val="00313FF5"/>
    <w:rsid w:val="003238C2"/>
    <w:rsid w:val="00324CE7"/>
    <w:rsid w:val="0032536B"/>
    <w:rsid w:val="00326E14"/>
    <w:rsid w:val="00331A2B"/>
    <w:rsid w:val="00337305"/>
    <w:rsid w:val="00337770"/>
    <w:rsid w:val="00371A62"/>
    <w:rsid w:val="00383A72"/>
    <w:rsid w:val="00387CC9"/>
    <w:rsid w:val="00387E21"/>
    <w:rsid w:val="00390699"/>
    <w:rsid w:val="00392427"/>
    <w:rsid w:val="0039639A"/>
    <w:rsid w:val="003C55CA"/>
    <w:rsid w:val="003D3686"/>
    <w:rsid w:val="003D5621"/>
    <w:rsid w:val="003E2C9E"/>
    <w:rsid w:val="003E351D"/>
    <w:rsid w:val="003E6445"/>
    <w:rsid w:val="003F1A8E"/>
    <w:rsid w:val="003F21B4"/>
    <w:rsid w:val="00402DCC"/>
    <w:rsid w:val="00404E03"/>
    <w:rsid w:val="00414E6D"/>
    <w:rsid w:val="0042424F"/>
    <w:rsid w:val="00424417"/>
    <w:rsid w:val="00434308"/>
    <w:rsid w:val="00440BE9"/>
    <w:rsid w:val="00447B99"/>
    <w:rsid w:val="00447C81"/>
    <w:rsid w:val="004508C0"/>
    <w:rsid w:val="004547B1"/>
    <w:rsid w:val="00465431"/>
    <w:rsid w:val="00466146"/>
    <w:rsid w:val="0048214D"/>
    <w:rsid w:val="00484477"/>
    <w:rsid w:val="004856DA"/>
    <w:rsid w:val="004934A6"/>
    <w:rsid w:val="00497636"/>
    <w:rsid w:val="004A186A"/>
    <w:rsid w:val="004A311C"/>
    <w:rsid w:val="004B1F11"/>
    <w:rsid w:val="004C20A5"/>
    <w:rsid w:val="004C3E5D"/>
    <w:rsid w:val="004D1F29"/>
    <w:rsid w:val="004D5DFB"/>
    <w:rsid w:val="004E1CF2"/>
    <w:rsid w:val="004E23E0"/>
    <w:rsid w:val="004E246C"/>
    <w:rsid w:val="004E374D"/>
    <w:rsid w:val="004E5AA9"/>
    <w:rsid w:val="00501382"/>
    <w:rsid w:val="005107A3"/>
    <w:rsid w:val="005240E9"/>
    <w:rsid w:val="00532CF3"/>
    <w:rsid w:val="0056477A"/>
    <w:rsid w:val="00576897"/>
    <w:rsid w:val="005856AF"/>
    <w:rsid w:val="00594A4A"/>
    <w:rsid w:val="005A01D3"/>
    <w:rsid w:val="005A34E6"/>
    <w:rsid w:val="005A50A2"/>
    <w:rsid w:val="005B03C3"/>
    <w:rsid w:val="005B0A52"/>
    <w:rsid w:val="005B0C75"/>
    <w:rsid w:val="005B712C"/>
    <w:rsid w:val="005C1A46"/>
    <w:rsid w:val="005E0621"/>
    <w:rsid w:val="00606307"/>
    <w:rsid w:val="00615808"/>
    <w:rsid w:val="00615E47"/>
    <w:rsid w:val="006311FA"/>
    <w:rsid w:val="00636D65"/>
    <w:rsid w:val="00640405"/>
    <w:rsid w:val="00642791"/>
    <w:rsid w:val="00646612"/>
    <w:rsid w:val="0064713B"/>
    <w:rsid w:val="006479D4"/>
    <w:rsid w:val="00651548"/>
    <w:rsid w:val="006560B5"/>
    <w:rsid w:val="0067019F"/>
    <w:rsid w:val="00675D33"/>
    <w:rsid w:val="00682BFA"/>
    <w:rsid w:val="006A0885"/>
    <w:rsid w:val="006A4605"/>
    <w:rsid w:val="006B2546"/>
    <w:rsid w:val="006B2CED"/>
    <w:rsid w:val="006C3219"/>
    <w:rsid w:val="006D0709"/>
    <w:rsid w:val="006D669A"/>
    <w:rsid w:val="006E03DB"/>
    <w:rsid w:val="006E0C4C"/>
    <w:rsid w:val="006E61AC"/>
    <w:rsid w:val="006F4E9D"/>
    <w:rsid w:val="006F5307"/>
    <w:rsid w:val="006F5990"/>
    <w:rsid w:val="007160AE"/>
    <w:rsid w:val="00716477"/>
    <w:rsid w:val="00722530"/>
    <w:rsid w:val="007273CF"/>
    <w:rsid w:val="007443AB"/>
    <w:rsid w:val="00754474"/>
    <w:rsid w:val="00770950"/>
    <w:rsid w:val="00781348"/>
    <w:rsid w:val="00782424"/>
    <w:rsid w:val="00791C26"/>
    <w:rsid w:val="007A0F9E"/>
    <w:rsid w:val="007C1642"/>
    <w:rsid w:val="007D3BA0"/>
    <w:rsid w:val="007E0B2C"/>
    <w:rsid w:val="007E33FA"/>
    <w:rsid w:val="007F208D"/>
    <w:rsid w:val="00805838"/>
    <w:rsid w:val="008157DD"/>
    <w:rsid w:val="00823E2F"/>
    <w:rsid w:val="008246D4"/>
    <w:rsid w:val="0082659C"/>
    <w:rsid w:val="00827DFE"/>
    <w:rsid w:val="008509E6"/>
    <w:rsid w:val="00850EFD"/>
    <w:rsid w:val="00855B8E"/>
    <w:rsid w:val="008747D8"/>
    <w:rsid w:val="00882A91"/>
    <w:rsid w:val="008A07C4"/>
    <w:rsid w:val="008B7D87"/>
    <w:rsid w:val="008D6FE4"/>
    <w:rsid w:val="008E3352"/>
    <w:rsid w:val="008E55FB"/>
    <w:rsid w:val="008E5DA7"/>
    <w:rsid w:val="008E7416"/>
    <w:rsid w:val="008F112F"/>
    <w:rsid w:val="008F2A2B"/>
    <w:rsid w:val="008F411D"/>
    <w:rsid w:val="008F78B4"/>
    <w:rsid w:val="00925AE4"/>
    <w:rsid w:val="0093655E"/>
    <w:rsid w:val="009400BC"/>
    <w:rsid w:val="00953DB9"/>
    <w:rsid w:val="009540B7"/>
    <w:rsid w:val="00982637"/>
    <w:rsid w:val="0098358F"/>
    <w:rsid w:val="0098423E"/>
    <w:rsid w:val="0099342B"/>
    <w:rsid w:val="009A08B0"/>
    <w:rsid w:val="009A1DD2"/>
    <w:rsid w:val="009A3D0C"/>
    <w:rsid w:val="009A607F"/>
    <w:rsid w:val="009B0C9E"/>
    <w:rsid w:val="009C5B01"/>
    <w:rsid w:val="009D560F"/>
    <w:rsid w:val="009D5934"/>
    <w:rsid w:val="009E34F4"/>
    <w:rsid w:val="009E4215"/>
    <w:rsid w:val="009E5248"/>
    <w:rsid w:val="009E7C9A"/>
    <w:rsid w:val="009F077E"/>
    <w:rsid w:val="009F1160"/>
    <w:rsid w:val="00A026F3"/>
    <w:rsid w:val="00A32A56"/>
    <w:rsid w:val="00A353D9"/>
    <w:rsid w:val="00A41A25"/>
    <w:rsid w:val="00A450ED"/>
    <w:rsid w:val="00A71FD8"/>
    <w:rsid w:val="00A83309"/>
    <w:rsid w:val="00A8782D"/>
    <w:rsid w:val="00A87E34"/>
    <w:rsid w:val="00A978A9"/>
    <w:rsid w:val="00AA10CB"/>
    <w:rsid w:val="00AA2E82"/>
    <w:rsid w:val="00AB0932"/>
    <w:rsid w:val="00AB4D24"/>
    <w:rsid w:val="00AC29AB"/>
    <w:rsid w:val="00AC3E78"/>
    <w:rsid w:val="00AC3F02"/>
    <w:rsid w:val="00AC4DC2"/>
    <w:rsid w:val="00AD2D1C"/>
    <w:rsid w:val="00AE2AA5"/>
    <w:rsid w:val="00B0373C"/>
    <w:rsid w:val="00B26FB7"/>
    <w:rsid w:val="00B301EB"/>
    <w:rsid w:val="00B36C3B"/>
    <w:rsid w:val="00B504CB"/>
    <w:rsid w:val="00B52393"/>
    <w:rsid w:val="00B52979"/>
    <w:rsid w:val="00B54147"/>
    <w:rsid w:val="00B55220"/>
    <w:rsid w:val="00B55831"/>
    <w:rsid w:val="00B6176B"/>
    <w:rsid w:val="00B74048"/>
    <w:rsid w:val="00B841E4"/>
    <w:rsid w:val="00B9474A"/>
    <w:rsid w:val="00B95421"/>
    <w:rsid w:val="00B97A59"/>
    <w:rsid w:val="00BB1E0C"/>
    <w:rsid w:val="00BB28F4"/>
    <w:rsid w:val="00BB2D50"/>
    <w:rsid w:val="00BB7FF6"/>
    <w:rsid w:val="00BC0D91"/>
    <w:rsid w:val="00BC19B3"/>
    <w:rsid w:val="00BC66A3"/>
    <w:rsid w:val="00BD0560"/>
    <w:rsid w:val="00BD72CC"/>
    <w:rsid w:val="00BE7B96"/>
    <w:rsid w:val="00C0101E"/>
    <w:rsid w:val="00C02E68"/>
    <w:rsid w:val="00C07674"/>
    <w:rsid w:val="00C14437"/>
    <w:rsid w:val="00C1529D"/>
    <w:rsid w:val="00C23E2B"/>
    <w:rsid w:val="00C517FF"/>
    <w:rsid w:val="00C82559"/>
    <w:rsid w:val="00CA1DA6"/>
    <w:rsid w:val="00CB1815"/>
    <w:rsid w:val="00CC292F"/>
    <w:rsid w:val="00CD7194"/>
    <w:rsid w:val="00CE43BF"/>
    <w:rsid w:val="00CE6942"/>
    <w:rsid w:val="00CF3C76"/>
    <w:rsid w:val="00CF4F4E"/>
    <w:rsid w:val="00D0170B"/>
    <w:rsid w:val="00D0242C"/>
    <w:rsid w:val="00D10699"/>
    <w:rsid w:val="00D14A44"/>
    <w:rsid w:val="00D2240D"/>
    <w:rsid w:val="00D2248A"/>
    <w:rsid w:val="00D273A7"/>
    <w:rsid w:val="00D30705"/>
    <w:rsid w:val="00D646CE"/>
    <w:rsid w:val="00DA1639"/>
    <w:rsid w:val="00DB1E62"/>
    <w:rsid w:val="00DB56C7"/>
    <w:rsid w:val="00DC0C68"/>
    <w:rsid w:val="00DC1C7E"/>
    <w:rsid w:val="00DC1E27"/>
    <w:rsid w:val="00DC4AD8"/>
    <w:rsid w:val="00DD2B18"/>
    <w:rsid w:val="00DD7AFD"/>
    <w:rsid w:val="00DE7F46"/>
    <w:rsid w:val="00DF2237"/>
    <w:rsid w:val="00E008DE"/>
    <w:rsid w:val="00E045D2"/>
    <w:rsid w:val="00E05F81"/>
    <w:rsid w:val="00E06789"/>
    <w:rsid w:val="00E1603D"/>
    <w:rsid w:val="00E3513C"/>
    <w:rsid w:val="00E36477"/>
    <w:rsid w:val="00E449CF"/>
    <w:rsid w:val="00E4612D"/>
    <w:rsid w:val="00E52581"/>
    <w:rsid w:val="00E54BFB"/>
    <w:rsid w:val="00E54D3B"/>
    <w:rsid w:val="00E574BC"/>
    <w:rsid w:val="00E579BC"/>
    <w:rsid w:val="00E83FC1"/>
    <w:rsid w:val="00E92A92"/>
    <w:rsid w:val="00E943C6"/>
    <w:rsid w:val="00EA11F3"/>
    <w:rsid w:val="00EA299B"/>
    <w:rsid w:val="00EB46DB"/>
    <w:rsid w:val="00EC3E20"/>
    <w:rsid w:val="00ED7925"/>
    <w:rsid w:val="00EE1E90"/>
    <w:rsid w:val="00EF0EED"/>
    <w:rsid w:val="00F107FE"/>
    <w:rsid w:val="00F13A58"/>
    <w:rsid w:val="00F16EA8"/>
    <w:rsid w:val="00F43FCF"/>
    <w:rsid w:val="00F44227"/>
    <w:rsid w:val="00F45423"/>
    <w:rsid w:val="00F460CE"/>
    <w:rsid w:val="00F520E0"/>
    <w:rsid w:val="00F63684"/>
    <w:rsid w:val="00F6446F"/>
    <w:rsid w:val="00F64EF7"/>
    <w:rsid w:val="00F70996"/>
    <w:rsid w:val="00F74512"/>
    <w:rsid w:val="00F83C45"/>
    <w:rsid w:val="00F853DE"/>
    <w:rsid w:val="00F93982"/>
    <w:rsid w:val="00F960A3"/>
    <w:rsid w:val="00FB6B4C"/>
    <w:rsid w:val="00FC4B67"/>
    <w:rsid w:val="00FC5FA9"/>
    <w:rsid w:val="00FE2141"/>
    <w:rsid w:val="00FF07FA"/>
    <w:rsid w:val="00FF17A1"/>
    <w:rsid w:val="00FF26F0"/>
    <w:rsid w:val="00FF46B8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8B79361"/>
  <w15:chartTrackingRefBased/>
  <w15:docId w15:val="{35D9156F-299A-4FB8-BF34-3D4D2874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719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51548"/>
    <w:rPr>
      <w:color w:val="954F72"/>
      <w:u w:val="single"/>
    </w:rPr>
  </w:style>
  <w:style w:type="table" w:styleId="TableGrid">
    <w:name w:val="Table Grid"/>
    <w:basedOn w:val="TableNormal"/>
    <w:uiPriority w:val="59"/>
    <w:rsid w:val="00F13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2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erRebates@eg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2856-8A1D-4820-8FFC-74CAD744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3925</CharactersWithSpaces>
  <SharedDoc>false</SharedDoc>
  <HLinks>
    <vt:vector size="18" baseType="variant">
      <vt:variant>
        <vt:i4>4522105</vt:i4>
      </vt:variant>
      <vt:variant>
        <vt:i4>6</vt:i4>
      </vt:variant>
      <vt:variant>
        <vt:i4>0</vt:i4>
      </vt:variant>
      <vt:variant>
        <vt:i4>5</vt:i4>
      </vt:variant>
      <vt:variant>
        <vt:lpwstr>mailto:dealerrebates@egia.org</vt:lpwstr>
      </vt:variant>
      <vt:variant>
        <vt:lpwstr/>
      </vt:variant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http://www.egia.org/amana</vt:lpwstr>
      </vt:variant>
      <vt:variant>
        <vt:lpwstr/>
      </vt:variant>
      <vt:variant>
        <vt:i4>4653095</vt:i4>
      </vt:variant>
      <vt:variant>
        <vt:i4>0</vt:i4>
      </vt:variant>
      <vt:variant>
        <vt:i4>0</vt:i4>
      </vt:variant>
      <vt:variant>
        <vt:i4>5</vt:i4>
      </vt:variant>
      <vt:variant>
        <vt:lpwstr>https://www.egia.org/directory/partners/amana/</vt:lpwstr>
      </vt:variant>
      <vt:variant>
        <vt:lpwstr>rebate_application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Beth A.</dc:creator>
  <cp:keywords/>
  <cp:lastModifiedBy>Grigg, Jason K.</cp:lastModifiedBy>
  <cp:revision>2</cp:revision>
  <cp:lastPrinted>2019-09-27T22:40:00Z</cp:lastPrinted>
  <dcterms:created xsi:type="dcterms:W3CDTF">2022-12-08T16:47:00Z</dcterms:created>
  <dcterms:modified xsi:type="dcterms:W3CDTF">2022-12-08T16:47:00Z</dcterms:modified>
</cp:coreProperties>
</file>