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2A" w:rsidRDefault="0058512A" w:rsidP="0058512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Maria Alatorre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June 25, 2021 7:52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Sharon McCrary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smccrary@egia.org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Conroy Refrigeration Claims Need Exceptions </w:t>
      </w:r>
    </w:p>
    <w:p w:rsidR="0058512A" w:rsidRDefault="0058512A" w:rsidP="0058512A"/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Hi Sharon, </w:t>
      </w: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I spoke with Jeremy about these claims and he approved a onetime internal exception to move these claims forward. The below table shows the list of all Conroy’s claims in question, some claims are duplicates. When you get a </w:t>
      </w:r>
      <w:proofErr w:type="gramStart"/>
      <w:r>
        <w:rPr>
          <w:rFonts w:ascii="Calibri" w:hAnsi="Calibri" w:cs="Calibri"/>
          <w:color w:val="1F497D"/>
          <w:sz w:val="22"/>
          <w:szCs w:val="22"/>
        </w:rPr>
        <w:t>chance</w:t>
      </w:r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can you please go through these and approve only one claim per install address. The below table has all the information I found. </w:t>
      </w:r>
    </w:p>
    <w:tbl>
      <w:tblPr>
        <w:tblW w:w="22574" w:type="dxa"/>
        <w:tblInd w:w="-1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00"/>
        <w:gridCol w:w="2176"/>
        <w:gridCol w:w="1758"/>
        <w:gridCol w:w="1517"/>
        <w:gridCol w:w="2506"/>
        <w:gridCol w:w="1561"/>
        <w:gridCol w:w="1780"/>
        <w:gridCol w:w="1692"/>
        <w:gridCol w:w="2022"/>
        <w:gridCol w:w="2000"/>
        <w:gridCol w:w="2142"/>
      </w:tblGrid>
      <w:tr w:rsidR="0058512A" w:rsidTr="0058512A">
        <w:trPr>
          <w:trHeight w:val="23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 number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Duplicate Claim 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CX Name 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Installation Address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Rebate $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Outdoor model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Outdoor Serial 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Indoor Model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Indoor Serial 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Additional claim 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Hanover Lane Unit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G012679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G080859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18-20210525-741949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Hanover Lane Unit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G012677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G081387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Hanover Lane Unit 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G012675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G081189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Hanover lane Unit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G012439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G080849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Hanover Lane Unit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G012418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G081165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Hanover Lane unit 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G012245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G081170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18-20210521-741599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Dominion St unit 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G012490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G081176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 Dominion St unit 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G012467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G077244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18-20210521-741603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140 Dominion St unit 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G012431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G080850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18-20210521-741606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140 Dominion St unit 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G081381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G012346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18-20210521-741609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18-20210518-741014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NV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Meech</w:t>
            </w:r>
            <w:proofErr w:type="spellEnd"/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 Dominion St unit 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G012382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G081171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8512A" w:rsidTr="0058512A">
        <w:trPr>
          <w:trHeight w:val="23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18-20210531-742994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 Dominion St unit 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RXL12QMVJU9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G012882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FTX12NMVJU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G080925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12A" w:rsidRDefault="005851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Let me know if you have any questions. </w:t>
      </w: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Thanks, 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58512A" w:rsidTr="0058512A">
        <w:trPr>
          <w:tblCellSpacing w:w="0" w:type="dxa"/>
        </w:trPr>
        <w:tc>
          <w:tcPr>
            <w:tcW w:w="1740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512A" w:rsidRDefault="0058512A">
            <w:pPr>
              <w:rPr>
                <w:color w:val="000000"/>
              </w:rPr>
            </w:pPr>
            <w:r>
              <w:rPr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1002030" cy="691515"/>
                  <wp:effectExtent l="0" t="0" r="7620" b="0"/>
                  <wp:docPr id="5" name="Picture 5" descr="EGIA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GIA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58512A" w:rsidRDefault="0058512A">
            <w:pPr>
              <w:rPr>
                <w:rFonts w:ascii="Arial" w:hAnsi="Arial" w:cs="Arial"/>
                <w:color w:val="56555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58512A" w:rsidRDefault="0058512A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58512A" w:rsidRDefault="0058512A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888-691-0387</w:t>
            </w:r>
          </w:p>
          <w:p w:rsidR="0058512A" w:rsidRDefault="0058512A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58750" cy="182880"/>
                  <wp:effectExtent l="0" t="0" r="0" b="7620"/>
                  <wp:docPr id="4" name="Picture 4" descr="Facebook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acebook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98755" cy="182880"/>
                  <wp:effectExtent l="0" t="0" r="0" b="7620"/>
                  <wp:docPr id="3" name="Picture 3" descr="Twitter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witter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Picture 2" descr="LinkedIn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nkedIn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Sharon McCrary &lt;</w:t>
      </w:r>
      <w:hyperlink r:id="rId14" w:history="1">
        <w:r>
          <w:rPr>
            <w:rStyle w:val="Hyperlink"/>
            <w:rFonts w:ascii="Calibri" w:hAnsi="Calibri" w:cs="Calibri"/>
            <w:sz w:val="22"/>
            <w:szCs w:val="22"/>
          </w:rPr>
          <w:t>smccrary@egia.org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June 22, 2021 5:30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Maria Alatorre &lt;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FW: Conroy Refrigeration Claims Need Exceptions </w:t>
      </w:r>
    </w:p>
    <w:p w:rsidR="0058512A" w:rsidRDefault="0058512A" w:rsidP="0058512A"/>
    <w:p w:rsidR="0058512A" w:rsidRDefault="0058512A" w:rsidP="0058512A">
      <w:pPr>
        <w:rPr>
          <w:rFonts w:ascii="Calibri" w:hAnsi="Calibri" w:cs="Calibri"/>
          <w:color w:val="1F497D"/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</w:rPr>
        <w:t>Good morning Maria,</w:t>
      </w:r>
    </w:p>
    <w:p w:rsidR="0058512A" w:rsidRDefault="0058512A" w:rsidP="0058512A">
      <w:pPr>
        <w:rPr>
          <w:rFonts w:ascii="Calibri" w:hAnsi="Calibri" w:cs="Calibri"/>
          <w:color w:val="1F497D"/>
          <w:sz w:val="28"/>
          <w:szCs w:val="28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</w:rPr>
        <w:t xml:space="preserve">Do we have a deposition for the Rebates </w:t>
      </w:r>
      <w:proofErr w:type="gramStart"/>
      <w:r>
        <w:rPr>
          <w:rFonts w:ascii="Calibri" w:hAnsi="Calibri" w:cs="Calibri"/>
          <w:color w:val="1F497D"/>
          <w:sz w:val="28"/>
          <w:szCs w:val="28"/>
        </w:rPr>
        <w:t>below.</w:t>
      </w:r>
      <w:proofErr w:type="gramEnd"/>
      <w:r>
        <w:rPr>
          <w:rFonts w:ascii="Calibri" w:hAnsi="Calibri" w:cs="Calibri"/>
          <w:color w:val="1F497D"/>
          <w:sz w:val="28"/>
          <w:szCs w:val="28"/>
        </w:rPr>
        <w:t>  These are the Canadian ones that seem to be rentals</w:t>
      </w:r>
      <w:proofErr w:type="gramStart"/>
      <w:r>
        <w:rPr>
          <w:rFonts w:ascii="Calibri" w:hAnsi="Calibri" w:cs="Calibri"/>
          <w:color w:val="1F497D"/>
          <w:sz w:val="28"/>
          <w:szCs w:val="28"/>
        </w:rPr>
        <w:t>…..</w:t>
      </w:r>
      <w:proofErr w:type="gramEnd"/>
    </w:p>
    <w:p w:rsidR="0058512A" w:rsidRDefault="0058512A" w:rsidP="0058512A">
      <w:pPr>
        <w:rPr>
          <w:rFonts w:ascii="Calibri" w:hAnsi="Calibri" w:cs="Calibri"/>
          <w:color w:val="1F497D"/>
          <w:sz w:val="28"/>
          <w:szCs w:val="28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58512A" w:rsidTr="0058512A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8512A" w:rsidRDefault="0058512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1F497D"/>
                <w:sz w:val="22"/>
                <w:szCs w:val="22"/>
              </w:rPr>
              <w:lastRenderedPageBreak/>
              <w:drawing>
                <wp:inline distT="0" distB="0" distL="0" distR="0">
                  <wp:extent cx="1002030" cy="691515"/>
                  <wp:effectExtent l="0" t="0" r="7620" b="0"/>
                  <wp:docPr id="1" name="Picture 1" descr="EGIA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GIA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58512A" w:rsidRDefault="0058512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Sharon McCrary</w:t>
            </w:r>
          </w:p>
          <w:p w:rsidR="0058512A" w:rsidRDefault="0058512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1F497D"/>
                <w:sz w:val="22"/>
                <w:szCs w:val="22"/>
              </w:rPr>
              <w:t>Rebate Processing Customer Service</w:t>
            </w:r>
          </w:p>
          <w:p w:rsidR="0058512A" w:rsidRDefault="0058512A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888-691-0387</w:t>
            </w:r>
          </w:p>
        </w:tc>
      </w:tr>
    </w:tbl>
    <w:p w:rsidR="0058512A" w:rsidRDefault="0058512A" w:rsidP="0058512A">
      <w:pPr>
        <w:rPr>
          <w:rFonts w:ascii="Calibri" w:hAnsi="Calibri" w:cs="Calibri"/>
          <w:color w:val="1F497D"/>
          <w:sz w:val="22"/>
          <w:szCs w:val="22"/>
        </w:rPr>
      </w:pPr>
    </w:p>
    <w:p w:rsidR="0058512A" w:rsidRDefault="0058512A" w:rsidP="0058512A">
      <w:pPr>
        <w:rPr>
          <w:rFonts w:ascii="Calibri" w:hAnsi="Calibri" w:cs="Calibri"/>
          <w:color w:val="1F497D"/>
          <w:sz w:val="28"/>
          <w:szCs w:val="28"/>
        </w:rPr>
      </w:pPr>
    </w:p>
    <w:p w:rsidR="0058512A" w:rsidRDefault="0058512A" w:rsidP="0058512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Dealer Rebates &lt;</w:t>
      </w:r>
      <w:hyperlink r:id="rId16" w:history="1">
        <w:r>
          <w:rPr>
            <w:rStyle w:val="Hyperlink"/>
            <w:rFonts w:ascii="Calibri" w:hAnsi="Calibri" w:cs="Calibri"/>
            <w:sz w:val="22"/>
            <w:szCs w:val="22"/>
          </w:rPr>
          <w:t>dealerrebates@egia.org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May 25, 2021 7:59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Maria Alatorre &lt;</w:t>
      </w:r>
      <w:hyperlink r:id="rId17" w:history="1">
        <w:r>
          <w:rPr>
            <w:rStyle w:val="Hyperlink"/>
            <w:rFonts w:ascii="Calibri" w:hAnsi="Calibri" w:cs="Calibri"/>
            <w:sz w:val="22"/>
            <w:szCs w:val="22"/>
          </w:rPr>
          <w:t>malatorre@egia.org</w:t>
        </w:r>
      </w:hyperlink>
      <w:r>
        <w:rPr>
          <w:rFonts w:ascii="Calibri" w:hAnsi="Calibri" w:cs="Calibri"/>
          <w:sz w:val="22"/>
          <w:szCs w:val="22"/>
        </w:rPr>
        <w:t>&gt;; Sharon McCrary &lt;</w:t>
      </w:r>
      <w:hyperlink r:id="rId18" w:history="1">
        <w:r>
          <w:rPr>
            <w:rStyle w:val="Hyperlink"/>
            <w:rFonts w:ascii="Calibri" w:hAnsi="Calibri" w:cs="Calibri"/>
            <w:sz w:val="22"/>
            <w:szCs w:val="22"/>
          </w:rPr>
          <w:t>smccrary@egia.org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Conroy Refrigeration Claims Need Exceptions </w:t>
      </w:r>
    </w:p>
    <w:p w:rsidR="0058512A" w:rsidRDefault="0058512A" w:rsidP="0058512A"/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​Hello Maria and Sharon,</w:t>
      </w:r>
    </w:p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As per our discussion please know we have been working with Refrigeration, LTD regarding claims listed below. In order for us to process and approve </w:t>
      </w:r>
      <w:proofErr w:type="gramStart"/>
      <w:r>
        <w:rPr>
          <w:rFonts w:ascii="Calibri" w:hAnsi="Calibri" w:cs="Calibri"/>
          <w:color w:val="000000"/>
        </w:rPr>
        <w:t>them</w:t>
      </w:r>
      <w:proofErr w:type="gramEnd"/>
      <w:r>
        <w:rPr>
          <w:rFonts w:ascii="Calibri" w:hAnsi="Calibri" w:cs="Calibri"/>
          <w:color w:val="000000"/>
        </w:rPr>
        <w:t xml:space="preserve"> we need a Daikin exception. </w:t>
      </w:r>
    </w:p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Note -</w:t>
      </w:r>
      <w:proofErr w:type="gramStart"/>
      <w:r>
        <w:rPr>
          <w:rFonts w:ascii="Calibri" w:hAnsi="Calibri" w:cs="Calibri"/>
          <w:color w:val="000000"/>
        </w:rPr>
        <w:t> ​all</w:t>
      </w:r>
      <w:proofErr w:type="gramEnd"/>
      <w:r>
        <w:rPr>
          <w:rFonts w:ascii="Calibri" w:hAnsi="Calibri" w:cs="Calibri"/>
          <w:color w:val="000000"/>
        </w:rPr>
        <w:t xml:space="preserve"> the claims listed on Hanover Lane below are new installations not replacements. </w:t>
      </w:r>
      <w:proofErr w:type="gramStart"/>
      <w:r>
        <w:rPr>
          <w:rFonts w:ascii="Calibri" w:hAnsi="Calibri" w:cs="Calibri"/>
          <w:color w:val="000000"/>
        </w:rPr>
        <w:t xml:space="preserve">All these units are owned by Ron </w:t>
      </w:r>
      <w:proofErr w:type="spellStart"/>
      <w:r>
        <w:rPr>
          <w:rFonts w:ascii="Calibri" w:hAnsi="Calibri" w:cs="Calibri"/>
          <w:color w:val="000000"/>
        </w:rPr>
        <w:t>Meech</w:t>
      </w:r>
      <w:proofErr w:type="spellEnd"/>
      <w:r>
        <w:rPr>
          <w:rFonts w:ascii="Calibri" w:hAnsi="Calibri" w:cs="Calibri"/>
          <w:color w:val="000000"/>
        </w:rPr>
        <w:t xml:space="preserve"> Properties, who is a developer</w:t>
      </w:r>
      <w:proofErr w:type="gramEnd"/>
      <w:r>
        <w:rPr>
          <w:rFonts w:ascii="Calibri" w:hAnsi="Calibri" w:cs="Calibri"/>
          <w:color w:val="000000"/>
        </w:rPr>
        <w:t xml:space="preserve">. Although properties are currently not </w:t>
      </w:r>
      <w:proofErr w:type="gramStart"/>
      <w:r>
        <w:rPr>
          <w:rFonts w:ascii="Calibri" w:hAnsi="Calibri" w:cs="Calibri"/>
          <w:color w:val="000000"/>
        </w:rPr>
        <w:t>leased</w:t>
      </w:r>
      <w:proofErr w:type="gramEnd"/>
      <w:r>
        <w:rPr>
          <w:rFonts w:ascii="Calibri" w:hAnsi="Calibri" w:cs="Calibri"/>
          <w:color w:val="000000"/>
        </w:rPr>
        <w:t xml:space="preserve"> they are business assets not used as residential properties. We are wondering if Daikin would be willing to grant claims an exception to approve them.</w:t>
      </w:r>
    </w:p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let us know if you have any questions or if there is anything </w:t>
      </w:r>
      <w:proofErr w:type="gramStart"/>
      <w:r>
        <w:rPr>
          <w:rFonts w:ascii="Calibri" w:hAnsi="Calibri" w:cs="Calibri"/>
          <w:color w:val="000000"/>
        </w:rPr>
        <w:t>else</w:t>
      </w:r>
      <w:proofErr w:type="gramEnd"/>
      <w:r>
        <w:rPr>
          <w:rFonts w:ascii="Calibri" w:hAnsi="Calibri" w:cs="Calibri"/>
          <w:color w:val="000000"/>
        </w:rPr>
        <w:t xml:space="preserve"> you need.</w:t>
      </w:r>
    </w:p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Best,</w:t>
      </w:r>
    </w:p>
    <w:p w:rsidR="0058512A" w:rsidRDefault="0058512A" w:rsidP="0058512A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Erika</w:t>
      </w:r>
    </w:p>
    <w:p w:rsidR="00140BEC" w:rsidRDefault="0058512A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2A"/>
    <w:rsid w:val="0058512A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8FC98-8EFF-4F17-8919-3477EC61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12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8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eAreEGIA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smccrary@egi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egia" TargetMode="External"/><Relationship Id="rId17" Type="http://schemas.openxmlformats.org/officeDocument/2006/relationships/hyperlink" Target="mailto:malatorre@egi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alerrebates@egia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gia.org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mccrary@egia.org" TargetMode="External"/><Relationship Id="rId15" Type="http://schemas.openxmlformats.org/officeDocument/2006/relationships/hyperlink" Target="mailto:malatorre@egia.org" TargetMode="External"/><Relationship Id="rId10" Type="http://schemas.openxmlformats.org/officeDocument/2006/relationships/hyperlink" Target="https://twitter.com/egia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alatorre@egia.org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smccrary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2021-06-25T19:12:00Z</dcterms:created>
  <dcterms:modified xsi:type="dcterms:W3CDTF">2021-06-25T19:12:00Z</dcterms:modified>
</cp:coreProperties>
</file>